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51B" w:rsidRPr="00D95ABC" w:rsidRDefault="00D95ABC" w:rsidP="00D95ABC">
      <w:pPr>
        <w:pStyle w:val="ListParagraph"/>
        <w:numPr>
          <w:ilvl w:val="0"/>
          <w:numId w:val="1"/>
        </w:numPr>
        <w:rPr>
          <w:rFonts w:ascii="Verdana" w:hAnsi="Verdana"/>
          <w:b/>
          <w:lang w:val="sr-Latn-CS"/>
        </w:rPr>
      </w:pPr>
      <w:r>
        <w:rPr>
          <w:rFonts w:ascii="Verdana" w:hAnsi="Verdana"/>
          <w:b/>
          <w:lang w:val="sr-Latn-CS"/>
        </w:rPr>
        <w:t xml:space="preserve">Šta se podrazumeva pod finansiranjem?  </w:t>
      </w:r>
      <w:r>
        <w:rPr>
          <w:rFonts w:ascii="Verdana" w:hAnsi="Verdana"/>
          <w:lang w:val="sr-Latn-CS"/>
        </w:rPr>
        <w:t>Pod finansiranjem poslovanja preduzeća se podrazumeva pronalaženje i obezbeđenje dobijanja finansijskih sredstava predviđenih konceptom finansijske politike i finansijskog plana za ostvarivanje određenih poslovnih programa i razvoja.</w:t>
      </w:r>
    </w:p>
    <w:p w:rsidR="00D95ABC" w:rsidRPr="00D95ABC" w:rsidRDefault="00D95ABC" w:rsidP="00D95ABC">
      <w:pPr>
        <w:pStyle w:val="ListParagraph"/>
        <w:numPr>
          <w:ilvl w:val="0"/>
          <w:numId w:val="1"/>
        </w:numPr>
        <w:rPr>
          <w:rFonts w:ascii="Verdana" w:hAnsi="Verdana"/>
          <w:b/>
          <w:lang w:val="sr-Latn-CS"/>
        </w:rPr>
      </w:pPr>
      <w:r>
        <w:rPr>
          <w:rFonts w:ascii="Verdana" w:hAnsi="Verdana"/>
          <w:b/>
          <w:lang w:val="sr-Latn-CS"/>
        </w:rPr>
        <w:t>Oblici finansiranja:</w:t>
      </w:r>
    </w:p>
    <w:p w:rsidR="00D95ABC" w:rsidRPr="00D95ABC" w:rsidRDefault="00D95ABC" w:rsidP="00D95ABC">
      <w:pPr>
        <w:pStyle w:val="ListParagraph"/>
        <w:numPr>
          <w:ilvl w:val="0"/>
          <w:numId w:val="2"/>
        </w:numPr>
        <w:rPr>
          <w:rFonts w:ascii="Verdana" w:hAnsi="Verdana"/>
          <w:lang w:val="sr-Latn-CS"/>
        </w:rPr>
      </w:pPr>
      <w:r w:rsidRPr="00D95ABC">
        <w:rPr>
          <w:rFonts w:ascii="Verdana" w:hAnsi="Verdana"/>
          <w:u w:val="single"/>
          <w:lang w:val="sr-Latn-CS"/>
        </w:rPr>
        <w:t>Sopstveno finansiranje</w:t>
      </w:r>
      <w:r>
        <w:rPr>
          <w:rFonts w:ascii="Verdana" w:hAnsi="Verdana"/>
          <w:u w:val="single"/>
          <w:lang w:val="sr-Latn-CS"/>
        </w:rPr>
        <w:t xml:space="preserve"> </w:t>
      </w:r>
      <w:r>
        <w:rPr>
          <w:rFonts w:ascii="Verdana" w:hAnsi="Verdana"/>
          <w:lang w:val="sr-Latn-CS"/>
        </w:rPr>
        <w:t>(pribavljanje sopstvenog kapitala)</w:t>
      </w:r>
      <w:r w:rsidRPr="00D95ABC">
        <w:rPr>
          <w:rFonts w:ascii="Verdana" w:hAnsi="Verdana"/>
          <w:lang w:val="sr-Latn-CS"/>
        </w:rPr>
        <w:t>:</w:t>
      </w:r>
    </w:p>
    <w:p w:rsidR="00D95ABC" w:rsidRDefault="00D95ABC" w:rsidP="001F47F0">
      <w:pPr>
        <w:pStyle w:val="ListParagraph"/>
        <w:numPr>
          <w:ilvl w:val="0"/>
          <w:numId w:val="6"/>
        </w:numPr>
        <w:rPr>
          <w:rFonts w:ascii="Verdana" w:hAnsi="Verdana"/>
          <w:lang w:val="sr-Latn-CS"/>
        </w:rPr>
      </w:pPr>
      <w:r w:rsidRPr="001F47F0">
        <w:rPr>
          <w:rFonts w:ascii="Verdana" w:hAnsi="Verdana"/>
          <w:i/>
          <w:lang w:val="sr-Latn-CS"/>
        </w:rPr>
        <w:t>Eksterno sopstveno finansiranje</w:t>
      </w:r>
      <w:r>
        <w:rPr>
          <w:rFonts w:ascii="Verdana" w:hAnsi="Verdana"/>
          <w:lang w:val="sr-Latn-CS"/>
        </w:rPr>
        <w:t xml:space="preserve"> (pribavljanje osnovnog kapitala – glavnice, uloga i spoljnih rezervi preduzetnika)</w:t>
      </w:r>
    </w:p>
    <w:p w:rsidR="00D95ABC" w:rsidRDefault="00D95ABC" w:rsidP="001F47F0">
      <w:pPr>
        <w:pStyle w:val="ListParagraph"/>
        <w:numPr>
          <w:ilvl w:val="0"/>
          <w:numId w:val="6"/>
        </w:numPr>
        <w:rPr>
          <w:rFonts w:ascii="Verdana" w:hAnsi="Verdana"/>
          <w:lang w:val="sr-Latn-CS"/>
        </w:rPr>
      </w:pPr>
      <w:r w:rsidRPr="001F47F0">
        <w:rPr>
          <w:rFonts w:ascii="Verdana" w:hAnsi="Verdana"/>
          <w:i/>
          <w:lang w:val="sr-Latn-CS"/>
        </w:rPr>
        <w:t xml:space="preserve">Interno sopstveno finansiranje </w:t>
      </w:r>
      <w:r>
        <w:rPr>
          <w:rFonts w:ascii="Verdana" w:hAnsi="Verdana"/>
          <w:lang w:val="sr-Latn-CS"/>
        </w:rPr>
        <w:t>(samofinansiranje – formiranjem rezervi iz dobiti, u otvorenom ili prikrivenom obliku).</w:t>
      </w:r>
    </w:p>
    <w:p w:rsidR="00D95ABC" w:rsidRDefault="00D95ABC" w:rsidP="00D95ABC">
      <w:pPr>
        <w:pStyle w:val="ListParagraph"/>
        <w:numPr>
          <w:ilvl w:val="0"/>
          <w:numId w:val="2"/>
        </w:numPr>
        <w:rPr>
          <w:rFonts w:ascii="Verdana" w:hAnsi="Verdana"/>
          <w:lang w:val="sr-Latn-CS"/>
        </w:rPr>
      </w:pPr>
      <w:r w:rsidRPr="00D95ABC">
        <w:rPr>
          <w:rFonts w:ascii="Verdana" w:hAnsi="Verdana"/>
          <w:u w:val="single"/>
          <w:lang w:val="sr-Latn-CS"/>
        </w:rPr>
        <w:t>Tuđe finansiranje</w:t>
      </w:r>
      <w:r>
        <w:rPr>
          <w:rFonts w:ascii="Verdana" w:hAnsi="Verdana"/>
          <w:lang w:val="sr-Latn-CS"/>
        </w:rPr>
        <w:t xml:space="preserve"> (pribavljanje tuđeg kapitala):</w:t>
      </w:r>
    </w:p>
    <w:p w:rsidR="00D95ABC" w:rsidRDefault="001F47F0" w:rsidP="001F47F0">
      <w:pPr>
        <w:pStyle w:val="ListParagraph"/>
        <w:numPr>
          <w:ilvl w:val="0"/>
          <w:numId w:val="5"/>
        </w:numPr>
        <w:rPr>
          <w:rFonts w:ascii="Verdana" w:hAnsi="Verdana"/>
          <w:lang w:val="sr-Latn-CS"/>
        </w:rPr>
      </w:pPr>
      <w:r w:rsidRPr="001F47F0">
        <w:rPr>
          <w:rFonts w:ascii="Verdana" w:hAnsi="Verdana"/>
          <w:i/>
          <w:lang w:val="sr-Latn-CS"/>
        </w:rPr>
        <w:t>Eksterno tuđe finansiranje</w:t>
      </w:r>
      <w:r>
        <w:rPr>
          <w:rFonts w:ascii="Verdana" w:hAnsi="Verdana"/>
          <w:lang w:val="sr-Latn-CS"/>
        </w:rPr>
        <w:t xml:space="preserve"> (pribavljanje svih vrsta kredita, zajmova i ostalih tuđih sredstava)</w:t>
      </w:r>
    </w:p>
    <w:p w:rsidR="001F47F0" w:rsidRDefault="001F47F0" w:rsidP="001F47F0">
      <w:pPr>
        <w:pStyle w:val="ListParagraph"/>
        <w:numPr>
          <w:ilvl w:val="0"/>
          <w:numId w:val="5"/>
        </w:numPr>
        <w:rPr>
          <w:rFonts w:ascii="Verdana" w:hAnsi="Verdana"/>
          <w:lang w:val="sr-Latn-CS"/>
        </w:rPr>
      </w:pPr>
      <w:r w:rsidRPr="001F47F0">
        <w:rPr>
          <w:rFonts w:ascii="Verdana" w:hAnsi="Verdana"/>
          <w:i/>
          <w:lang w:val="sr-Latn-CS"/>
        </w:rPr>
        <w:t>Interno tuđe finansiranje</w:t>
      </w:r>
      <w:r>
        <w:rPr>
          <w:rFonts w:ascii="Verdana" w:hAnsi="Verdana"/>
          <w:lang w:val="sr-Latn-CS"/>
        </w:rPr>
        <w:t xml:space="preserve"> (korišćenje rezervi za penzije radnika i službenika, obustava poreza, socijalno osiguranje).</w:t>
      </w:r>
    </w:p>
    <w:p w:rsidR="001F47F0" w:rsidRPr="001F47F0" w:rsidRDefault="001F47F0" w:rsidP="001F47F0">
      <w:pPr>
        <w:pStyle w:val="ListParagraph"/>
        <w:numPr>
          <w:ilvl w:val="0"/>
          <w:numId w:val="1"/>
        </w:numPr>
        <w:rPr>
          <w:rFonts w:ascii="Verdana" w:hAnsi="Verdana"/>
          <w:b/>
          <w:lang w:val="sr-Latn-CS"/>
        </w:rPr>
      </w:pPr>
      <w:r w:rsidRPr="001F47F0">
        <w:rPr>
          <w:rFonts w:ascii="Verdana" w:hAnsi="Verdana"/>
          <w:b/>
          <w:lang w:val="sr-Latn-CS"/>
        </w:rPr>
        <w:t>Pravila za odnos dugoročnog prema kratkoročnom kapitalu</w:t>
      </w:r>
      <w:r>
        <w:rPr>
          <w:rFonts w:ascii="Verdana" w:hAnsi="Verdana"/>
          <w:b/>
          <w:lang w:val="sr-Latn-CS"/>
        </w:rPr>
        <w:t xml:space="preserve">. </w:t>
      </w:r>
      <w:r>
        <w:rPr>
          <w:rFonts w:ascii="Verdana" w:hAnsi="Verdana"/>
          <w:lang w:val="sr-Latn-CS"/>
        </w:rPr>
        <w:t>Ovaj odnos je uslovljen strukturom imopvine koja zavisi od vrste preduzeća. Ističe se opšti zahtev finansijske politike da odnos između dugoročnog i kratkoročnog kapitala treba da bude postavljen u skladu sa potrebama polrića, koje proizilazi iz strukture imovine. Kratkoročni i dugoročni dugovi moraju biti u jednom normalnom međusobnom odnosu prema aktivnoj mogućnosti pokrića, koja odgovara samom preduzeću.</w:t>
      </w:r>
    </w:p>
    <w:p w:rsidR="001F47F0" w:rsidRPr="004D7181" w:rsidRDefault="001F47F0" w:rsidP="001F47F0">
      <w:pPr>
        <w:pStyle w:val="ListParagraph"/>
        <w:numPr>
          <w:ilvl w:val="0"/>
          <w:numId w:val="1"/>
        </w:numPr>
        <w:rPr>
          <w:rFonts w:ascii="Verdana" w:hAnsi="Verdana"/>
          <w:b/>
          <w:lang w:val="sr-Latn-CS"/>
        </w:rPr>
      </w:pPr>
      <w:r>
        <w:rPr>
          <w:rFonts w:ascii="Verdana" w:hAnsi="Verdana"/>
          <w:b/>
          <w:lang w:val="sr-Latn-CS"/>
        </w:rPr>
        <w:t xml:space="preserve">Zlatno (bankarsko) pravilo finansiranja </w:t>
      </w:r>
      <w:r>
        <w:rPr>
          <w:rFonts w:ascii="Verdana" w:hAnsi="Verdana"/>
          <w:lang w:val="sr-Latn-CS"/>
        </w:rPr>
        <w:t>glasi: „primljeni tu</w:t>
      </w:r>
      <w:r w:rsidR="004D7181">
        <w:rPr>
          <w:rFonts w:ascii="Verdana" w:hAnsi="Verdana"/>
          <w:lang w:val="sr-Latn-CS"/>
        </w:rPr>
        <w:t xml:space="preserve">đi kapital ne sme se dugoročnije koristiti </w:t>
      </w:r>
      <w:r>
        <w:rPr>
          <w:rFonts w:ascii="Verdana" w:hAnsi="Verdana"/>
          <w:lang w:val="sr-Latn-CS"/>
        </w:rPr>
        <w:t>nego što je dobijen</w:t>
      </w:r>
      <w:r w:rsidR="004D7181">
        <w:rPr>
          <w:rFonts w:ascii="Verdana" w:hAnsi="Verdana"/>
          <w:lang w:val="sr-Latn-CS"/>
        </w:rPr>
        <w:t>“.</w:t>
      </w:r>
    </w:p>
    <w:p w:rsidR="004D7181" w:rsidRPr="004D7181" w:rsidRDefault="004D7181" w:rsidP="001F47F0">
      <w:pPr>
        <w:pStyle w:val="ListParagraph"/>
        <w:numPr>
          <w:ilvl w:val="0"/>
          <w:numId w:val="1"/>
        </w:numPr>
        <w:rPr>
          <w:rFonts w:ascii="Verdana" w:hAnsi="Verdana"/>
          <w:b/>
          <w:lang w:val="sr-Latn-CS"/>
        </w:rPr>
      </w:pPr>
      <w:r>
        <w:rPr>
          <w:rFonts w:ascii="Verdana" w:hAnsi="Verdana"/>
          <w:b/>
          <w:lang w:val="sr-Latn-CS"/>
        </w:rPr>
        <w:t xml:space="preserve">Zlatno bilansno pravilo </w:t>
      </w:r>
      <w:r>
        <w:rPr>
          <w:rFonts w:ascii="Verdana" w:hAnsi="Verdana"/>
          <w:lang w:val="sr-Latn-CS"/>
        </w:rPr>
        <w:t>insistira na respektovanju sledećeg: „da dugoročno vezana imovina (tj osnovna sredstva) treba da bude finansirana iz dugoročnih izvora, a kratkoročna (tj obrtna sredstva) kratkoročnim kapitalom.“</w:t>
      </w:r>
    </w:p>
    <w:p w:rsidR="004D7181" w:rsidRPr="004D7181" w:rsidRDefault="004D7181" w:rsidP="001F47F0">
      <w:pPr>
        <w:pStyle w:val="ListParagraph"/>
        <w:numPr>
          <w:ilvl w:val="0"/>
          <w:numId w:val="1"/>
        </w:numPr>
        <w:rPr>
          <w:rFonts w:ascii="Verdana" w:hAnsi="Verdana"/>
          <w:b/>
          <w:lang w:val="sr-Latn-CS"/>
        </w:rPr>
      </w:pPr>
      <w:r>
        <w:rPr>
          <w:rFonts w:ascii="Verdana" w:hAnsi="Verdana"/>
          <w:b/>
          <w:lang w:val="sr-Latn-CS"/>
        </w:rPr>
        <w:t>Pravilo finansiranja „1:1“ („</w:t>
      </w:r>
      <w:r>
        <w:rPr>
          <w:rFonts w:ascii="Verdana" w:hAnsi="Verdana"/>
          <w:b/>
          <w:i/>
          <w:lang w:val="sr-Latn-CS"/>
        </w:rPr>
        <w:t xml:space="preserve">acid test“) </w:t>
      </w:r>
      <w:r>
        <w:rPr>
          <w:rFonts w:ascii="Verdana" w:hAnsi="Verdana"/>
          <w:lang w:val="sr-Latn-CS"/>
        </w:rPr>
        <w:t>polazi od minimalnog zahteva jednakosti između gotovine, menica i dužnika, sa jedne, i kratkoročnog kapitala, sa druge strane. Upotrebljava se kao osnova za merenje tzv. likvidnosti I stepena. Na njega se u praksi ocene likvidnosti na osnovu bilansa, redovno naslanja pravilo „2:1“, koje služi kao osnova za utvrđivanje likvidnosti II stepena. Ovo drugo pravilo zahteva da odnos obrtne imovine prema kratkoročnim obavezama bude najmanje 2:1.</w:t>
      </w:r>
    </w:p>
    <w:p w:rsidR="004D7181" w:rsidRPr="004D7181" w:rsidRDefault="004D7181" w:rsidP="004D7181">
      <w:pPr>
        <w:pStyle w:val="ListParagraph"/>
        <w:numPr>
          <w:ilvl w:val="0"/>
          <w:numId w:val="1"/>
        </w:numPr>
        <w:rPr>
          <w:rFonts w:ascii="Verdana" w:hAnsi="Verdana"/>
          <w:b/>
          <w:lang w:val="sr-Latn-CS"/>
        </w:rPr>
      </w:pPr>
      <w:r>
        <w:rPr>
          <w:rFonts w:ascii="Verdana" w:hAnsi="Verdana"/>
          <w:b/>
          <w:lang w:val="sr-Latn-CS"/>
        </w:rPr>
        <w:t xml:space="preserve">Politika strukture i optimalna struktura kapitala. </w:t>
      </w:r>
      <w:r w:rsidRPr="004D7181">
        <w:rPr>
          <w:rFonts w:ascii="Verdana" w:hAnsi="Verdana"/>
          <w:u w:val="single"/>
          <w:lang w:val="sr-Latn-CS"/>
        </w:rPr>
        <w:t>Poltika strukture kapitala</w:t>
      </w:r>
      <w:r>
        <w:rPr>
          <w:rFonts w:ascii="Verdana" w:hAnsi="Verdana"/>
          <w:lang w:val="sr-Latn-CS"/>
        </w:rPr>
        <w:t xml:space="preserve"> polazi od toga da sa dugom raste rizik, ali i da visoki dug vodi do više stop prinosa kapitala. </w:t>
      </w:r>
      <w:r w:rsidRPr="004D7181">
        <w:rPr>
          <w:rFonts w:ascii="Verdana" w:hAnsi="Verdana"/>
          <w:u w:val="single"/>
          <w:lang w:val="sr-Latn-CS"/>
        </w:rPr>
        <w:t>Optimalna struktura kapitala</w:t>
      </w:r>
      <w:r>
        <w:rPr>
          <w:rFonts w:ascii="Verdana" w:hAnsi="Verdana"/>
          <w:lang w:val="sr-Latn-CS"/>
        </w:rPr>
        <w:t xml:space="preserve"> je ona koja predstavlja optimalni balans između rizika i prinosa i usled toga maksmizira cenu akcije.</w:t>
      </w:r>
    </w:p>
    <w:p w:rsidR="004426D3" w:rsidRDefault="00227191" w:rsidP="004426D3">
      <w:pPr>
        <w:pStyle w:val="ListParagraph"/>
        <w:numPr>
          <w:ilvl w:val="0"/>
          <w:numId w:val="1"/>
        </w:numPr>
        <w:rPr>
          <w:rFonts w:ascii="Verdana" w:hAnsi="Verdana"/>
          <w:lang w:val="sr-Latn-CS"/>
        </w:rPr>
      </w:pPr>
      <w:r w:rsidRPr="004426D3">
        <w:rPr>
          <w:rFonts w:ascii="Verdana" w:hAnsi="Verdana"/>
          <w:b/>
          <w:lang w:val="sr-Latn-CS"/>
        </w:rPr>
        <w:t xml:space="preserve">Pravila za odnos sopstvenog i tuđeg kapitala </w:t>
      </w:r>
      <w:r w:rsidR="002329CC" w:rsidRPr="004426D3">
        <w:rPr>
          <w:rFonts w:ascii="Verdana" w:hAnsi="Verdana"/>
          <w:lang w:val="sr-Latn-CS"/>
        </w:rPr>
        <w:t xml:space="preserve">javljaju se u formi čvrsto postavljenih relacija </w:t>
      </w:r>
      <w:r w:rsidR="004426D3" w:rsidRPr="004426D3">
        <w:rPr>
          <w:rFonts w:ascii="Verdana" w:hAnsi="Verdana"/>
          <w:lang w:val="sr-Latn-CS"/>
        </w:rPr>
        <w:t xml:space="preserve">između sopstvenog i tuđeg kapitala, ili u formi minimalnih zahteva ili donjih limita za finansiranje preduzeća sopstvenim kapitalom. Na odnos između sopstvenog i tuđeg kapitala u prvom redu utiče sigurnost kao princip i princip rentabilnosti. „Potrebno je postavljanje jednakosti između sopstvenih i </w:t>
      </w:r>
      <w:r w:rsidR="004426D3" w:rsidRPr="004426D3">
        <w:rPr>
          <w:rFonts w:ascii="Verdana" w:hAnsi="Verdana"/>
          <w:lang w:val="sr-Latn-CS"/>
        </w:rPr>
        <w:lastRenderedPageBreak/>
        <w:t xml:space="preserve">tuđih (izvora) sredstava kao minimum. Najzdravije je finansiranje isključivo sopstvenim sredstvima.“ </w:t>
      </w:r>
    </w:p>
    <w:p w:rsidR="004426D3" w:rsidRPr="004426D3" w:rsidRDefault="004426D3" w:rsidP="004426D3">
      <w:pPr>
        <w:pStyle w:val="ListParagraph"/>
        <w:numPr>
          <w:ilvl w:val="0"/>
          <w:numId w:val="2"/>
        </w:numPr>
        <w:rPr>
          <w:rFonts w:ascii="Verdana" w:hAnsi="Verdana"/>
          <w:lang w:val="sr-Latn-CS"/>
        </w:rPr>
      </w:pPr>
      <w:r w:rsidRPr="004426D3">
        <w:rPr>
          <w:rFonts w:ascii="Verdana" w:hAnsi="Verdana"/>
          <w:lang w:val="sr-Latn-CS"/>
        </w:rPr>
        <w:t>„Važno je da tuđi kapital ne treba da bude veći od sopstvenog.“</w:t>
      </w:r>
    </w:p>
    <w:p w:rsidR="004426D3" w:rsidRDefault="004426D3" w:rsidP="004426D3">
      <w:pPr>
        <w:pStyle w:val="ListParagraph"/>
        <w:numPr>
          <w:ilvl w:val="0"/>
          <w:numId w:val="2"/>
        </w:numPr>
        <w:rPr>
          <w:rFonts w:ascii="Verdana" w:hAnsi="Verdana"/>
          <w:lang w:val="sr-Latn-CS"/>
        </w:rPr>
      </w:pPr>
      <w:r>
        <w:rPr>
          <w:rFonts w:ascii="Verdana" w:hAnsi="Verdana"/>
          <w:lang w:val="sr-Latn-CS"/>
        </w:rPr>
        <w:t>„Samo odnos tuđih prema sopstvenim izvorima od 1:2 označava zdravu normu preduzeća.“</w:t>
      </w:r>
    </w:p>
    <w:p w:rsidR="004426D3" w:rsidRDefault="004426D3" w:rsidP="004426D3">
      <w:pPr>
        <w:pStyle w:val="ListParagraph"/>
        <w:numPr>
          <w:ilvl w:val="0"/>
          <w:numId w:val="2"/>
        </w:numPr>
        <w:rPr>
          <w:rFonts w:ascii="Verdana" w:hAnsi="Verdana"/>
          <w:lang w:val="sr-Latn-CS"/>
        </w:rPr>
      </w:pPr>
      <w:r>
        <w:rPr>
          <w:rFonts w:ascii="Verdana" w:hAnsi="Verdana"/>
          <w:lang w:val="sr-Latn-CS"/>
        </w:rPr>
        <w:t>„Odnos između sopstvenog i tuđeg kapitačla mora biti najmanje 1:3, odnosno granica između sopstvenog i tuđeg je tamo gde je najveća rentabilnost sopstvenog kapitala.“</w:t>
      </w:r>
    </w:p>
    <w:p w:rsidR="006E77CF" w:rsidRPr="006E77CF" w:rsidRDefault="006E77CF" w:rsidP="004426D3">
      <w:pPr>
        <w:pStyle w:val="ListParagraph"/>
        <w:numPr>
          <w:ilvl w:val="0"/>
          <w:numId w:val="1"/>
        </w:numPr>
        <w:rPr>
          <w:rFonts w:ascii="Verdana" w:hAnsi="Verdana"/>
          <w:b/>
          <w:lang w:val="sr-Latn-CS"/>
        </w:rPr>
      </w:pPr>
      <w:r w:rsidRPr="006E77CF">
        <w:rPr>
          <w:rFonts w:ascii="Verdana" w:hAnsi="Verdana"/>
          <w:b/>
          <w:lang w:val="sr-Latn-CS"/>
        </w:rPr>
        <w:t>Faktor poslovnog leveridža</w:t>
      </w:r>
      <w:r>
        <w:rPr>
          <w:rFonts w:ascii="Verdana" w:hAnsi="Verdana"/>
          <w:b/>
          <w:lang w:val="sr-Latn-CS"/>
        </w:rPr>
        <w:t xml:space="preserve"> </w:t>
      </w:r>
      <w:r>
        <w:rPr>
          <w:rFonts w:ascii="Verdana" w:hAnsi="Verdana"/>
          <w:lang w:val="sr-Latn-CS"/>
        </w:rPr>
        <w:t>pokazuje procentualnu promenu poslovnog rezultata izazvanu jedno procentnom promenom prihoda od prodaje. FPL je odnos prihoda od prodaje (PP) umanjenog za varijabilne troškove (VT) i poslovnog rezultata (PPKP), i određuje se po formuli</w:t>
      </w:r>
      <w:r w:rsidR="005A7491">
        <w:rPr>
          <w:rFonts w:ascii="Verdana" w:hAnsi="Verdana"/>
          <w:lang w:val="sr-Latn-CS"/>
        </w:rPr>
        <w:t>:</w:t>
      </w:r>
    </w:p>
    <w:p w:rsidR="006E77CF" w:rsidRDefault="00573779" w:rsidP="006E77CF">
      <w:pPr>
        <w:pStyle w:val="ListParagraph"/>
        <w:rPr>
          <w:rFonts w:ascii="Verdana" w:eastAsiaTheme="minorEastAsia" w:hAnsi="Verdana"/>
          <w:b/>
          <w:lang w:val="sr-Latn-CS"/>
        </w:rPr>
      </w:pPr>
      <m:oMathPara>
        <m:oMath>
          <m:r>
            <m:rPr>
              <m:sty m:val="bi"/>
            </m:rPr>
            <w:rPr>
              <w:rFonts w:ascii="Cambria Math" w:hAnsi="Cambria Math"/>
              <w:lang w:val="sr-Latn-CS"/>
            </w:rPr>
            <m:t>FPL=</m:t>
          </m:r>
          <m:f>
            <m:fPr>
              <m:ctrlPr>
                <w:rPr>
                  <w:rFonts w:ascii="Cambria Math" w:hAnsi="Cambria Math"/>
                  <w:b/>
                  <w:i/>
                  <w:lang w:val="sr-Latn-CS"/>
                </w:rPr>
              </m:ctrlPr>
            </m:fPr>
            <m:num>
              <m:r>
                <m:rPr>
                  <m:sty m:val="bi"/>
                </m:rPr>
                <w:rPr>
                  <w:rFonts w:ascii="Cambria Math" w:hAnsi="Cambria Math"/>
                  <w:lang w:val="sr-Latn-CS"/>
                </w:rPr>
                <m:t>PP-VT</m:t>
              </m:r>
            </m:num>
            <m:den>
              <m:r>
                <m:rPr>
                  <m:sty m:val="bi"/>
                </m:rPr>
                <w:rPr>
                  <w:rFonts w:ascii="Cambria Math" w:hAnsi="Cambria Math"/>
                  <w:lang w:val="sr-Latn-CS"/>
                </w:rPr>
                <m:t>PPKP</m:t>
              </m:r>
            </m:den>
          </m:f>
          <m:r>
            <m:rPr>
              <m:sty m:val="bi"/>
            </m:rPr>
            <w:rPr>
              <w:rFonts w:ascii="Cambria Math" w:hAnsi="Cambria Math"/>
              <w:lang w:val="sr-Latn-CS"/>
            </w:rPr>
            <m:t>=</m:t>
          </m:r>
          <m:f>
            <m:fPr>
              <m:ctrlPr>
                <w:rPr>
                  <w:rFonts w:ascii="Cambria Math" w:hAnsi="Cambria Math"/>
                  <w:b/>
                  <w:i/>
                  <w:lang w:val="sr-Latn-CS"/>
                </w:rPr>
              </m:ctrlPr>
            </m:fPr>
            <m:num>
              <m:r>
                <m:rPr>
                  <m:sty m:val="bi"/>
                </m:rPr>
                <w:rPr>
                  <w:rFonts w:ascii="Cambria Math" w:hAnsi="Cambria Math"/>
                  <w:lang w:val="sr-Latn-CS"/>
                </w:rPr>
                <m:t>PP-VT</m:t>
              </m:r>
            </m:num>
            <m:den>
              <m:r>
                <m:rPr>
                  <m:sty m:val="bi"/>
                </m:rPr>
                <w:rPr>
                  <w:rFonts w:ascii="Cambria Math" w:hAnsi="Cambria Math"/>
                  <w:lang w:val="sr-Latn-CS"/>
                </w:rPr>
                <m:t>PP-VT-FT</m:t>
              </m:r>
            </m:den>
          </m:f>
        </m:oMath>
      </m:oMathPara>
    </w:p>
    <w:p w:rsidR="00381327" w:rsidRPr="00780F47" w:rsidRDefault="00381327" w:rsidP="006E77CF">
      <w:pPr>
        <w:pStyle w:val="ListParagraph"/>
        <w:rPr>
          <w:rFonts w:ascii="Verdana" w:hAnsi="Verdana"/>
          <w:lang w:val="sr-Latn-CS"/>
        </w:rPr>
      </w:pPr>
    </w:p>
    <w:p w:rsidR="004426D3" w:rsidRPr="00780F47" w:rsidRDefault="00780F47" w:rsidP="006E77CF">
      <w:pPr>
        <w:pStyle w:val="ListParagraph"/>
        <w:ind w:left="1500"/>
        <w:rPr>
          <w:rFonts w:ascii="Verdana" w:hAnsi="Verdana"/>
          <w:lang w:val="sr-Latn-CS"/>
        </w:rPr>
      </w:pPr>
      <w:r w:rsidRPr="00780F47">
        <w:rPr>
          <w:rFonts w:ascii="Verdana" w:hAnsi="Verdana"/>
          <w:lang w:val="sr-Latn-CS"/>
        </w:rPr>
        <w:t>*FT – fiksni troškovi</w:t>
      </w:r>
    </w:p>
    <w:p w:rsidR="004426D3" w:rsidRPr="004426D3" w:rsidRDefault="00381327" w:rsidP="004426D3">
      <w:pPr>
        <w:pStyle w:val="ListParagraph"/>
        <w:rPr>
          <w:rFonts w:ascii="Verdana" w:hAnsi="Verdana"/>
          <w:lang w:val="sr-Latn-CS"/>
        </w:rPr>
      </w:pPr>
      <w:r>
        <w:rPr>
          <w:rFonts w:ascii="Verdana" w:hAnsi="Verdana"/>
          <w:lang w:val="sr-Latn-CS"/>
        </w:rPr>
        <w:t>FPL se može izračunati i iz odnosa procentualnog povećanja pirhoda od prodaje i poslovnog rezultata</w:t>
      </w:r>
    </w:p>
    <w:p w:rsidR="004426D3" w:rsidRDefault="00381327" w:rsidP="004426D3">
      <w:pPr>
        <w:rPr>
          <w:rFonts w:ascii="Verdana" w:eastAsiaTheme="minorEastAsia" w:hAnsi="Verdana"/>
          <w:b/>
          <w:lang w:val="sr-Latn-CS"/>
        </w:rPr>
      </w:pPr>
      <m:oMathPara>
        <m:oMath>
          <m:r>
            <m:rPr>
              <m:sty m:val="bi"/>
            </m:rPr>
            <w:rPr>
              <w:rFonts w:ascii="Cambria Math" w:hAnsi="Cambria Math"/>
              <w:lang w:val="sr-Latn-CS"/>
            </w:rPr>
            <m:t>FPL=</m:t>
          </m:r>
          <m:f>
            <m:fPr>
              <m:ctrlPr>
                <w:rPr>
                  <w:rFonts w:ascii="Cambria Math" w:hAnsi="Cambria Math"/>
                  <w:b/>
                  <w:i/>
                  <w:lang w:val="sr-Latn-CS"/>
                </w:rPr>
              </m:ctrlPr>
            </m:fPr>
            <m:num>
              <m:r>
                <m:rPr>
                  <m:sty m:val="bi"/>
                </m:rPr>
                <w:rPr>
                  <w:rFonts w:ascii="Cambria Math" w:hAnsi="Cambria Math"/>
                  <w:lang w:val="sr-Latn-CS"/>
                </w:rPr>
                <m:t>% promena poslovnog rezultata</m:t>
              </m:r>
            </m:num>
            <m:den>
              <m:r>
                <m:rPr>
                  <m:sty m:val="bi"/>
                </m:rPr>
                <w:rPr>
                  <w:rFonts w:ascii="Cambria Math" w:hAnsi="Cambria Math"/>
                  <w:lang w:val="sr-Latn-CS"/>
                </w:rPr>
                <m:t>% promena prihoda od prodaje</m:t>
              </m:r>
            </m:den>
          </m:f>
        </m:oMath>
      </m:oMathPara>
    </w:p>
    <w:p w:rsidR="00780F47" w:rsidRDefault="00780F47" w:rsidP="00780F47">
      <w:pPr>
        <w:pStyle w:val="ListParagraph"/>
        <w:numPr>
          <w:ilvl w:val="0"/>
          <w:numId w:val="1"/>
        </w:numPr>
        <w:rPr>
          <w:rFonts w:ascii="Verdana" w:hAnsi="Verdana"/>
          <w:lang w:val="sr-Latn-CS"/>
        </w:rPr>
      </w:pPr>
      <w:r w:rsidRPr="005A7491">
        <w:rPr>
          <w:rFonts w:ascii="Verdana" w:hAnsi="Verdana"/>
          <w:b/>
          <w:lang w:val="sr-Latn-CS"/>
        </w:rPr>
        <w:t xml:space="preserve"> Poslovni rizik</w:t>
      </w:r>
      <w:r>
        <w:rPr>
          <w:rFonts w:ascii="Verdana" w:hAnsi="Verdana"/>
          <w:b/>
          <w:lang w:val="sr-Latn-CS"/>
        </w:rPr>
        <w:t xml:space="preserve"> </w:t>
      </w:r>
      <w:r>
        <w:rPr>
          <w:rFonts w:ascii="Verdana" w:hAnsi="Verdana"/>
          <w:lang w:val="sr-Latn-CS"/>
        </w:rPr>
        <w:t>je rizik poslova preduzeća ne uzimajući u obzir dug. On predstavlja neizvesnost ostvarenja poslovnog rezultata (poslovnog dobitka) kao prinosa na ukupno uložena sredstva tj. kapital.</w:t>
      </w:r>
    </w:p>
    <w:p w:rsidR="00780F47" w:rsidRDefault="00780F47" w:rsidP="00780F47">
      <w:pPr>
        <w:pStyle w:val="ListParagraph"/>
        <w:numPr>
          <w:ilvl w:val="0"/>
          <w:numId w:val="1"/>
        </w:numPr>
        <w:rPr>
          <w:rFonts w:ascii="Verdana" w:hAnsi="Verdana"/>
          <w:lang w:val="sr-Latn-CS"/>
        </w:rPr>
      </w:pPr>
      <w:r w:rsidRPr="005A7491">
        <w:rPr>
          <w:rFonts w:ascii="Verdana" w:hAnsi="Verdana"/>
          <w:b/>
          <w:lang w:val="sr-Latn-CS"/>
        </w:rPr>
        <w:t xml:space="preserve"> </w:t>
      </w:r>
      <w:r w:rsidR="005A7491">
        <w:rPr>
          <w:rFonts w:ascii="Verdana" w:hAnsi="Verdana"/>
          <w:b/>
          <w:lang w:val="sr-Latn-CS"/>
        </w:rPr>
        <w:t>Finansijski</w:t>
      </w:r>
      <w:r w:rsidR="005A7491" w:rsidRPr="005A7491">
        <w:rPr>
          <w:rFonts w:ascii="Verdana" w:hAnsi="Verdana"/>
          <w:b/>
          <w:lang w:val="sr-Latn-CS"/>
        </w:rPr>
        <w:t xml:space="preserve"> rizik </w:t>
      </w:r>
      <w:r>
        <w:rPr>
          <w:rFonts w:ascii="Verdana" w:hAnsi="Verdana"/>
          <w:lang w:val="sr-Latn-CS"/>
        </w:rPr>
        <w:t>ostvarenja bruto finansijskog rezultata (bruto do</w:t>
      </w:r>
      <w:r w:rsidR="005A7491">
        <w:rPr>
          <w:rFonts w:ascii="Verdana" w:hAnsi="Verdana"/>
          <w:lang w:val="sr-Latn-CS"/>
        </w:rPr>
        <w:t>bitka kao bruto prinosa na sopstveni kapital.</w:t>
      </w:r>
    </w:p>
    <w:p w:rsidR="005A7491" w:rsidRDefault="005A7491" w:rsidP="005A7491">
      <w:pPr>
        <w:pStyle w:val="ListParagraph"/>
        <w:numPr>
          <w:ilvl w:val="0"/>
          <w:numId w:val="1"/>
        </w:numPr>
        <w:rPr>
          <w:rFonts w:ascii="Verdana" w:hAnsi="Verdana"/>
          <w:lang w:val="sr-Latn-CS"/>
        </w:rPr>
      </w:pPr>
      <w:r>
        <w:rPr>
          <w:rFonts w:ascii="Verdana" w:hAnsi="Verdana"/>
          <w:b/>
          <w:lang w:val="sr-Latn-CS"/>
        </w:rPr>
        <w:t xml:space="preserve"> Rashodi finansiranja </w:t>
      </w:r>
      <w:r>
        <w:rPr>
          <w:rFonts w:ascii="Verdana" w:hAnsi="Verdana"/>
          <w:lang w:val="sr-Latn-CS"/>
        </w:rPr>
        <w:t>(troškovi kamata) uslovljeni su u najvećoj meri:</w:t>
      </w:r>
    </w:p>
    <w:p w:rsidR="005A7491" w:rsidRPr="005A7491" w:rsidRDefault="005A7491" w:rsidP="005A7491">
      <w:pPr>
        <w:pStyle w:val="ListParagraph"/>
        <w:numPr>
          <w:ilvl w:val="0"/>
          <w:numId w:val="18"/>
        </w:numPr>
        <w:rPr>
          <w:rFonts w:ascii="Verdana" w:hAnsi="Verdana"/>
          <w:u w:val="single"/>
          <w:lang w:val="sr-Latn-CS"/>
        </w:rPr>
      </w:pPr>
      <w:r w:rsidRPr="005A7491">
        <w:rPr>
          <w:rFonts w:ascii="Verdana" w:hAnsi="Verdana"/>
          <w:u w:val="single"/>
          <w:lang w:val="sr-Latn-CS"/>
        </w:rPr>
        <w:t>Strukturom kapitala</w:t>
      </w:r>
      <w:r>
        <w:rPr>
          <w:rFonts w:ascii="Verdana" w:hAnsi="Verdana"/>
          <w:lang w:val="sr-Latn-CS"/>
        </w:rPr>
        <w:t xml:space="preserve"> – </w:t>
      </w:r>
      <w:r w:rsidRPr="005A7491">
        <w:rPr>
          <w:rFonts w:ascii="Verdana" w:hAnsi="Verdana"/>
          <w:lang w:val="sr-Latn-CS"/>
        </w:rPr>
        <w:t>što</w:t>
      </w:r>
      <w:r>
        <w:rPr>
          <w:rFonts w:ascii="Verdana" w:hAnsi="Verdana"/>
          <w:lang w:val="sr-Latn-CS"/>
        </w:rPr>
        <w:t xml:space="preserve"> je struktura kapitala više pomerena ka sopstvenom kapitalu manje će biti pozajmljenog kapitala na koji se plaća kamata</w:t>
      </w:r>
    </w:p>
    <w:p w:rsidR="005A7491" w:rsidRPr="005A7491" w:rsidRDefault="005A7491" w:rsidP="005A7491">
      <w:pPr>
        <w:pStyle w:val="ListParagraph"/>
        <w:numPr>
          <w:ilvl w:val="0"/>
          <w:numId w:val="18"/>
        </w:numPr>
        <w:rPr>
          <w:rFonts w:ascii="Verdana" w:hAnsi="Verdana"/>
          <w:u w:val="single"/>
          <w:lang w:val="sr-Latn-CS"/>
        </w:rPr>
      </w:pPr>
      <w:r>
        <w:rPr>
          <w:rFonts w:ascii="Verdana" w:hAnsi="Verdana"/>
          <w:u w:val="single"/>
          <w:lang w:val="sr-Latn-CS"/>
        </w:rPr>
        <w:t xml:space="preserve">Visinom kamatnih stopa </w:t>
      </w:r>
      <w:r>
        <w:rPr>
          <w:rFonts w:ascii="Verdana" w:hAnsi="Verdana"/>
          <w:lang w:val="sr-Latn-CS"/>
        </w:rPr>
        <w:t>– pri pozajmljenom kapitalu na koji se plaća kamata, niže kamatne stope izazivaju niže troškove finansiranja i obrnuto.</w:t>
      </w:r>
    </w:p>
    <w:p w:rsidR="005A7491" w:rsidRPr="005A7491" w:rsidRDefault="005A7491" w:rsidP="005A7491">
      <w:pPr>
        <w:pStyle w:val="ListParagraph"/>
        <w:numPr>
          <w:ilvl w:val="0"/>
          <w:numId w:val="18"/>
        </w:numPr>
        <w:rPr>
          <w:rFonts w:ascii="Verdana" w:hAnsi="Verdana"/>
          <w:u w:val="single"/>
          <w:lang w:val="sr-Latn-CS"/>
        </w:rPr>
      </w:pPr>
      <w:r>
        <w:rPr>
          <w:rFonts w:ascii="Verdana" w:hAnsi="Verdana"/>
          <w:u w:val="single"/>
          <w:lang w:val="sr-Latn-CS"/>
        </w:rPr>
        <w:t xml:space="preserve">Racionalnošću upravljanja sredstvima </w:t>
      </w:r>
      <w:r>
        <w:rPr>
          <w:rFonts w:ascii="Verdana" w:hAnsi="Verdana"/>
          <w:lang w:val="sr-Latn-CS"/>
        </w:rPr>
        <w:t>– ako se izbegnu nepotrebna ulagaje u stalna sredstva, ako se stalna sredstva brže amortizuju, ako se skrate rokovi naplate dugoročnih plasmana i dr. biće manje pozajmljenog kapitala na koji se plaća kamata.</w:t>
      </w:r>
    </w:p>
    <w:p w:rsidR="005A7491" w:rsidRDefault="005A7491" w:rsidP="005A7491">
      <w:pPr>
        <w:pStyle w:val="ListParagraph"/>
        <w:numPr>
          <w:ilvl w:val="0"/>
          <w:numId w:val="1"/>
        </w:numPr>
        <w:rPr>
          <w:rFonts w:ascii="Verdana" w:hAnsi="Verdana"/>
          <w:lang w:val="sr-Latn-CS"/>
        </w:rPr>
      </w:pPr>
      <w:r w:rsidRPr="005A7491">
        <w:rPr>
          <w:rFonts w:ascii="Verdana" w:hAnsi="Verdana"/>
          <w:lang w:val="sr-Latn-CS"/>
        </w:rPr>
        <w:t xml:space="preserve"> </w:t>
      </w:r>
      <w:r w:rsidRPr="005A7491">
        <w:rPr>
          <w:rFonts w:ascii="Verdana" w:hAnsi="Verdana"/>
          <w:b/>
          <w:lang w:val="sr-Latn-CS"/>
        </w:rPr>
        <w:t>Faktor finansijskog leveridža</w:t>
      </w:r>
      <w:r>
        <w:rPr>
          <w:rFonts w:ascii="Verdana" w:hAnsi="Verdana"/>
          <w:b/>
          <w:lang w:val="sr-Latn-CS"/>
        </w:rPr>
        <w:t xml:space="preserve"> </w:t>
      </w:r>
      <w:r>
        <w:rPr>
          <w:rFonts w:ascii="Verdana" w:hAnsi="Verdana"/>
          <w:lang w:val="sr-Latn-CS"/>
        </w:rPr>
        <w:t>predstavlja odnos između poslovnog rezultata i bruto finansijskog rezultata i određuje se po formuli:</w:t>
      </w:r>
    </w:p>
    <w:p w:rsidR="005A7491" w:rsidRPr="005A7491" w:rsidRDefault="005A7491" w:rsidP="005A7491">
      <w:pPr>
        <w:pStyle w:val="ListParagraph"/>
        <w:rPr>
          <w:rFonts w:ascii="Verdana" w:hAnsi="Verdana"/>
          <w:lang w:val="sr-Latn-CS"/>
        </w:rPr>
      </w:pPr>
      <m:oMathPara>
        <m:oMath>
          <m:r>
            <m:rPr>
              <m:sty m:val="bi"/>
            </m:rPr>
            <w:rPr>
              <w:rFonts w:ascii="Cambria Math" w:hAnsi="Cambria Math"/>
              <w:lang w:val="sr-Latn-CS"/>
            </w:rPr>
            <m:t>FPL=</m:t>
          </m:r>
          <m:f>
            <m:fPr>
              <m:ctrlPr>
                <w:rPr>
                  <w:rFonts w:ascii="Cambria Math" w:hAnsi="Cambria Math"/>
                  <w:b/>
                  <w:i/>
                  <w:lang w:val="sr-Latn-CS"/>
                </w:rPr>
              </m:ctrlPr>
            </m:fPr>
            <m:num>
              <m:r>
                <m:rPr>
                  <m:sty m:val="bi"/>
                </m:rPr>
                <w:rPr>
                  <w:rFonts w:ascii="Cambria Math" w:hAnsi="Cambria Math"/>
                  <w:lang w:val="sr-Latn-CS"/>
                </w:rPr>
                <m:t>PPKP</m:t>
              </m:r>
            </m:num>
            <m:den>
              <m:r>
                <m:rPr>
                  <m:sty m:val="bi"/>
                </m:rPr>
                <w:rPr>
                  <w:rFonts w:ascii="Cambria Math" w:hAnsi="Cambria Math"/>
                  <w:lang w:val="sr-Latn-CS"/>
                </w:rPr>
                <m:t>PPKP-k</m:t>
              </m:r>
            </m:den>
          </m:f>
        </m:oMath>
      </m:oMathPara>
    </w:p>
    <w:p w:rsidR="004426D3" w:rsidRDefault="005A7491" w:rsidP="004426D3">
      <w:pPr>
        <w:pStyle w:val="ListParagraph"/>
        <w:rPr>
          <w:rFonts w:ascii="Verdana" w:hAnsi="Verdana"/>
          <w:lang w:val="sr-Latn-CS"/>
        </w:rPr>
      </w:pPr>
      <w:r>
        <w:rPr>
          <w:rFonts w:ascii="Verdana" w:hAnsi="Verdana"/>
          <w:lang w:val="sr-Latn-CS"/>
        </w:rPr>
        <w:t>FFL  pokazuje koliko se puta brže menja bruto finansijski rezultat pri svakoj procentualnoj promeni poslovnog rezultata. Bruto finansijski rezultat ili bruto dobitak se dobija kada se od poslovnog rezultata odu</w:t>
      </w:r>
      <w:r w:rsidR="00534500">
        <w:rPr>
          <w:rFonts w:ascii="Verdana" w:hAnsi="Verdana"/>
          <w:lang w:val="sr-Latn-CS"/>
        </w:rPr>
        <w:t xml:space="preserve">zmu troškovi kamata. FFL se </w:t>
      </w:r>
      <w:r w:rsidR="00534500">
        <w:rPr>
          <w:rFonts w:ascii="Verdana" w:hAnsi="Verdana"/>
          <w:lang w:val="sr-Latn-CS"/>
        </w:rPr>
        <w:lastRenderedPageBreak/>
        <w:t>određuje i kao odnos procenta promene u zaradi po akciji i procenta promene u poslovnom rezultatu:</w:t>
      </w:r>
    </w:p>
    <w:p w:rsidR="004426D3" w:rsidRDefault="00534500" w:rsidP="004426D3">
      <w:pPr>
        <w:pStyle w:val="ListParagraph"/>
        <w:rPr>
          <w:rFonts w:ascii="Verdana" w:eastAsiaTheme="minorEastAsia" w:hAnsi="Verdana"/>
          <w:b/>
          <w:lang w:val="sr-Latn-CS"/>
        </w:rPr>
      </w:pPr>
      <m:oMathPara>
        <m:oMath>
          <m:r>
            <m:rPr>
              <m:sty m:val="bi"/>
            </m:rPr>
            <w:rPr>
              <w:rFonts w:ascii="Cambria Math" w:hAnsi="Cambria Math"/>
              <w:lang w:val="sr-Latn-CS"/>
            </w:rPr>
            <m:t>FPL=</m:t>
          </m:r>
          <m:f>
            <m:fPr>
              <m:ctrlPr>
                <w:rPr>
                  <w:rFonts w:ascii="Cambria Math" w:hAnsi="Cambria Math"/>
                  <w:b/>
                  <w:i/>
                  <w:lang w:val="sr-Latn-CS"/>
                </w:rPr>
              </m:ctrlPr>
            </m:fPr>
            <m:num>
              <m:r>
                <m:rPr>
                  <m:sty m:val="bi"/>
                </m:rPr>
                <w:rPr>
                  <w:rFonts w:ascii="Cambria Math" w:hAnsi="Cambria Math"/>
                  <w:lang w:val="sr-Latn-CS"/>
                </w:rPr>
                <m:t>% promena u zaradi po akciji</m:t>
              </m:r>
            </m:num>
            <m:den>
              <m:eqArr>
                <m:eqArrPr>
                  <m:ctrlPr>
                    <w:rPr>
                      <w:rFonts w:ascii="Cambria Math" w:hAnsi="Cambria Math"/>
                      <w:b/>
                      <w:i/>
                      <w:lang w:val="sr-Latn-CS"/>
                    </w:rPr>
                  </m:ctrlPr>
                </m:eqArrPr>
                <m:e>
                  <m:r>
                    <m:rPr>
                      <m:sty m:val="bi"/>
                    </m:rPr>
                    <w:rPr>
                      <w:rFonts w:ascii="Cambria Math" w:hAnsi="Cambria Math"/>
                      <w:lang w:val="sr-Latn-CS"/>
                    </w:rPr>
                    <m:t>% promena poslovnog rezultata</m:t>
                  </m:r>
                </m:e>
              </m:eqArr>
            </m:den>
          </m:f>
        </m:oMath>
      </m:oMathPara>
    </w:p>
    <w:p w:rsidR="00534500" w:rsidRPr="00534500" w:rsidRDefault="00534500" w:rsidP="00534500">
      <w:pPr>
        <w:pStyle w:val="ListParagraph"/>
        <w:numPr>
          <w:ilvl w:val="0"/>
          <w:numId w:val="1"/>
        </w:numPr>
        <w:rPr>
          <w:rFonts w:ascii="Verdana" w:hAnsi="Verdana"/>
          <w:lang w:val="sr-Latn-CS"/>
        </w:rPr>
      </w:pPr>
      <w:r>
        <w:rPr>
          <w:rFonts w:ascii="Verdana" w:eastAsiaTheme="minorEastAsia" w:hAnsi="Verdana"/>
          <w:b/>
          <w:lang w:val="sr-Latn-CS"/>
        </w:rPr>
        <w:t xml:space="preserve"> Finansijski leveridž </w:t>
      </w:r>
      <w:r>
        <w:rPr>
          <w:rFonts w:ascii="Verdana" w:eastAsiaTheme="minorEastAsia" w:hAnsi="Verdana"/>
          <w:lang w:val="sr-Latn-CS"/>
        </w:rPr>
        <w:t>je obim do koga se dug koristi u strukturi kapitala. Finansijski leveridž upućuje da preduzeće koristi dug, a finansijski rizik je dodatni rizik običnih akcionara kao rezultat korišćenja finansijskog leveridža.</w:t>
      </w:r>
    </w:p>
    <w:p w:rsidR="00534500" w:rsidRPr="00534500" w:rsidRDefault="00534500" w:rsidP="00534500">
      <w:pPr>
        <w:pStyle w:val="ListParagraph"/>
        <w:numPr>
          <w:ilvl w:val="0"/>
          <w:numId w:val="1"/>
        </w:numPr>
        <w:rPr>
          <w:rFonts w:ascii="Verdana" w:hAnsi="Verdana"/>
          <w:lang w:val="sr-Latn-CS"/>
        </w:rPr>
      </w:pPr>
      <w:r>
        <w:rPr>
          <w:rFonts w:ascii="Verdana" w:eastAsiaTheme="minorEastAsia" w:hAnsi="Verdana"/>
          <w:b/>
          <w:lang w:val="sr-Latn-CS"/>
        </w:rPr>
        <w:t xml:space="preserve"> Poslovni leveridž </w:t>
      </w:r>
      <w:r>
        <w:rPr>
          <w:rFonts w:ascii="Verdana" w:eastAsiaTheme="minorEastAsia" w:hAnsi="Verdana"/>
          <w:lang w:val="sr-Latn-CS"/>
        </w:rPr>
        <w:t>je obim do koga su troškovi fiksni. Ako je visok stepen poslovnih troškova fiksan i ne smanjuje se kada tražnja opada povećan je poslovni rizik preduzeća.</w:t>
      </w:r>
    </w:p>
    <w:p w:rsidR="00534500" w:rsidRPr="00534500" w:rsidRDefault="00534500" w:rsidP="00534500">
      <w:pPr>
        <w:pStyle w:val="ListParagraph"/>
        <w:numPr>
          <w:ilvl w:val="0"/>
          <w:numId w:val="1"/>
        </w:numPr>
        <w:rPr>
          <w:rFonts w:ascii="Verdana" w:hAnsi="Verdana"/>
          <w:lang w:val="sr-Latn-CS"/>
        </w:rPr>
      </w:pPr>
      <w:r>
        <w:rPr>
          <w:rFonts w:ascii="Verdana" w:eastAsiaTheme="minorEastAsia" w:hAnsi="Verdana"/>
          <w:b/>
          <w:lang w:val="sr-Latn-CS"/>
        </w:rPr>
        <w:t xml:space="preserve"> Dodeljivanje potraživanja. </w:t>
      </w:r>
      <w:r>
        <w:rPr>
          <w:rFonts w:ascii="Verdana" w:eastAsiaTheme="minorEastAsia" w:hAnsi="Verdana"/>
          <w:lang w:val="sr-Latn-CS"/>
        </w:rPr>
        <w:t>Dodeljivanje je uobičajen način kojim se potraživanja polažu kao zalog pri davanju hipotekarnih kredita. Klijent šalje banci dokumentaciju o svojim kupcima i kreditima koji su im dati. Banke najčešće prihvataju samo potraživanja koje njihovi klijenti imaju prema kupcima koji imaju visok kreditni rejting. Banke više vole ugovore na veće iznose jer se minimizara učešće administrativnih troškova u ukupnoj vrednosti kredita. Banka na kraju ustupa deo preuzetih potraživanja kao kredit svome klijentu,</w:t>
      </w:r>
    </w:p>
    <w:p w:rsidR="00534500" w:rsidRPr="00CC1E11" w:rsidRDefault="00314780" w:rsidP="00534500">
      <w:pPr>
        <w:pStyle w:val="ListParagraph"/>
        <w:numPr>
          <w:ilvl w:val="0"/>
          <w:numId w:val="1"/>
        </w:numPr>
        <w:rPr>
          <w:rFonts w:ascii="Verdana" w:hAnsi="Verdana"/>
          <w:lang w:val="sr-Latn-CS"/>
        </w:rPr>
      </w:pPr>
      <w:r>
        <w:rPr>
          <w:rFonts w:ascii="Verdana" w:eastAsiaTheme="minorEastAsia" w:hAnsi="Verdana"/>
          <w:b/>
          <w:lang w:val="sr-Latn-CS"/>
        </w:rPr>
        <w:t xml:space="preserve"> Otkup potraživanja. </w:t>
      </w:r>
      <w:r>
        <w:rPr>
          <w:rFonts w:ascii="Verdana" w:eastAsiaTheme="minorEastAsia" w:hAnsi="Verdana"/>
          <w:lang w:val="sr-Latn-CS"/>
        </w:rPr>
        <w:t>Kod njega klijent prodaje banci svoje potraživanje. Banka nema više nikakvih potraživanja od kupca i ona sama snosi rizik</w:t>
      </w:r>
      <w:r w:rsidR="00CC1E11">
        <w:rPr>
          <w:rFonts w:ascii="Verdana" w:eastAsiaTheme="minorEastAsia" w:hAnsi="Verdana"/>
          <w:lang w:val="sr-Latn-CS"/>
        </w:rPr>
        <w:t xml:space="preserve"> neuspeha pri naplati otkupljenog potraživanja. Banka pri otkupu potraživanja igra ulogu agenta.</w:t>
      </w:r>
    </w:p>
    <w:p w:rsidR="00CC1E11" w:rsidRPr="00CC1E11" w:rsidRDefault="00CC1E11" w:rsidP="00534500">
      <w:pPr>
        <w:pStyle w:val="ListParagraph"/>
        <w:numPr>
          <w:ilvl w:val="0"/>
          <w:numId w:val="1"/>
        </w:numPr>
        <w:rPr>
          <w:rFonts w:ascii="Verdana" w:hAnsi="Verdana"/>
          <w:lang w:val="sr-Latn-CS"/>
        </w:rPr>
      </w:pPr>
      <w:r>
        <w:rPr>
          <w:rFonts w:ascii="Verdana" w:eastAsiaTheme="minorEastAsia" w:hAnsi="Verdana"/>
          <w:b/>
          <w:lang w:val="sr-Latn-CS"/>
        </w:rPr>
        <w:t xml:space="preserve"> Komercijalni zapisi </w:t>
      </w:r>
      <w:r>
        <w:rPr>
          <w:rFonts w:ascii="Verdana" w:eastAsiaTheme="minorEastAsia" w:hAnsi="Verdana"/>
          <w:lang w:val="sr-Latn-CS"/>
        </w:rPr>
        <w:t>se koriste za direktno pozajmljivanje novca između velikih preduzeća bez posredstva banaka. To su kratkoročne HOV i one sa sobom ne nose nikakvu posebnu garanciju. Najčešće se pri izdavanju prodaju po ceni koja je niža od nominalne cene koja je na njima navedena i one na sebi nemaju kamatne kupone. Prodajom komercijalnih zapisa najčešće rukovodi banka investitora koja povezuje emitenta i prodavca i za to naplaćuje brokersku proviziju.</w:t>
      </w:r>
    </w:p>
    <w:p w:rsidR="00CC1E11" w:rsidRPr="00E92924" w:rsidRDefault="00E92924" w:rsidP="00534500">
      <w:pPr>
        <w:pStyle w:val="ListParagraph"/>
        <w:numPr>
          <w:ilvl w:val="0"/>
          <w:numId w:val="1"/>
        </w:numPr>
        <w:rPr>
          <w:rFonts w:ascii="Verdana" w:hAnsi="Verdana"/>
          <w:lang w:val="sr-Latn-CS"/>
        </w:rPr>
      </w:pPr>
      <w:r>
        <w:rPr>
          <w:rFonts w:ascii="Verdana" w:eastAsiaTheme="minorEastAsia" w:hAnsi="Verdana"/>
          <w:b/>
          <w:lang w:val="sr-Latn-CS"/>
        </w:rPr>
        <w:t xml:space="preserve"> Sopstveni izvori dugoročnog finansiranja </w:t>
      </w:r>
      <w:r>
        <w:rPr>
          <w:rFonts w:ascii="Verdana" w:eastAsiaTheme="minorEastAsia" w:hAnsi="Verdana"/>
          <w:lang w:val="sr-Latn-CS"/>
        </w:rPr>
        <w:t>preduzeća se dele na</w:t>
      </w:r>
    </w:p>
    <w:p w:rsidR="00E92924" w:rsidRDefault="00E92924" w:rsidP="00E92924">
      <w:pPr>
        <w:pStyle w:val="ListParagraph"/>
        <w:numPr>
          <w:ilvl w:val="0"/>
          <w:numId w:val="20"/>
        </w:numPr>
        <w:rPr>
          <w:rFonts w:ascii="Verdana" w:hAnsi="Verdana"/>
          <w:lang w:val="sr-Latn-CS"/>
        </w:rPr>
      </w:pPr>
      <w:r>
        <w:rPr>
          <w:rFonts w:ascii="Verdana" w:hAnsi="Verdana"/>
          <w:lang w:val="sr-Latn-CS"/>
        </w:rPr>
        <w:t xml:space="preserve">eksterne – akcijski (akcionarski) kapital, i </w:t>
      </w:r>
    </w:p>
    <w:p w:rsidR="00E92924" w:rsidRDefault="00E92924" w:rsidP="00E92924">
      <w:pPr>
        <w:pStyle w:val="ListParagraph"/>
        <w:numPr>
          <w:ilvl w:val="0"/>
          <w:numId w:val="20"/>
        </w:numPr>
        <w:rPr>
          <w:rFonts w:ascii="Verdana" w:hAnsi="Verdana"/>
          <w:lang w:val="sr-Latn-CS"/>
        </w:rPr>
      </w:pPr>
      <w:r>
        <w:rPr>
          <w:rFonts w:ascii="Verdana" w:hAnsi="Verdana"/>
          <w:lang w:val="sr-Latn-CS"/>
        </w:rPr>
        <w:t>interne – akumlirani – reinvestirani profit i amortizacija</w:t>
      </w:r>
    </w:p>
    <w:p w:rsidR="00E92924" w:rsidRDefault="00E92924" w:rsidP="00E92924">
      <w:pPr>
        <w:pStyle w:val="ListParagraph"/>
        <w:numPr>
          <w:ilvl w:val="0"/>
          <w:numId w:val="1"/>
        </w:numPr>
        <w:rPr>
          <w:rFonts w:ascii="Verdana" w:hAnsi="Verdana"/>
          <w:lang w:val="sr-Latn-CS"/>
        </w:rPr>
      </w:pPr>
      <w:r>
        <w:rPr>
          <w:rFonts w:ascii="Verdana" w:hAnsi="Verdana"/>
          <w:lang w:val="sr-Latn-CS"/>
        </w:rPr>
        <w:t xml:space="preserve"> Pod </w:t>
      </w:r>
      <w:r>
        <w:rPr>
          <w:rFonts w:ascii="Verdana" w:hAnsi="Verdana"/>
          <w:b/>
          <w:lang w:val="sr-Latn-CS"/>
        </w:rPr>
        <w:t xml:space="preserve">akcijskim kapitalom </w:t>
      </w:r>
      <w:r>
        <w:rPr>
          <w:rFonts w:ascii="Verdana" w:hAnsi="Verdana"/>
          <w:lang w:val="sr-Latn-CS"/>
        </w:rPr>
        <w:t>se podrazumeva kapital koji nosi preduzeća pribavlja emisijom, upisom i uplatom (prodajom) običnih akcija na tržištu kapital, kao osnovnog izvora akcijskog kapitala. Osnovna karakteristika akcijskog kapitala je da je to trajni izvor kapitala vlasničkog karaktera, bez obzira što se stvarni vlasnik akcija tokom vremena može menjati kao posledica njihove kupoprodaje na sekundarnom tržištu kapitala. Iskazuje se u pasivi bilansa po nominalnoj vrednosti akcija.</w:t>
      </w:r>
    </w:p>
    <w:p w:rsidR="00E92924" w:rsidRPr="00E92924" w:rsidRDefault="00E92924" w:rsidP="00E92924">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Tipovi i oblici emisije i plasmana korporativnih vrednosnih papira:</w:t>
      </w:r>
    </w:p>
    <w:p w:rsidR="00E92924" w:rsidRDefault="00E92924" w:rsidP="00E92924">
      <w:pPr>
        <w:pStyle w:val="ListParagraph"/>
        <w:numPr>
          <w:ilvl w:val="0"/>
          <w:numId w:val="21"/>
        </w:numPr>
        <w:rPr>
          <w:rFonts w:ascii="Verdana" w:hAnsi="Verdana"/>
          <w:lang w:val="sr-Latn-CS"/>
        </w:rPr>
      </w:pPr>
      <w:r>
        <w:rPr>
          <w:rFonts w:ascii="Verdana" w:hAnsi="Verdana"/>
          <w:lang w:val="sr-Latn-CS"/>
        </w:rPr>
        <w:t>Javna emisija</w:t>
      </w:r>
    </w:p>
    <w:p w:rsidR="00E92924" w:rsidRDefault="00E92924" w:rsidP="00E92924">
      <w:pPr>
        <w:pStyle w:val="ListParagraph"/>
        <w:numPr>
          <w:ilvl w:val="0"/>
          <w:numId w:val="21"/>
        </w:numPr>
        <w:rPr>
          <w:rFonts w:ascii="Verdana" w:hAnsi="Verdana"/>
          <w:lang w:val="sr-Latn-CS"/>
        </w:rPr>
      </w:pPr>
      <w:r>
        <w:rPr>
          <w:rFonts w:ascii="Verdana" w:hAnsi="Verdana"/>
          <w:lang w:val="sr-Latn-CS"/>
        </w:rPr>
        <w:t>privelegovana emisija</w:t>
      </w:r>
    </w:p>
    <w:p w:rsidR="00E92924" w:rsidRDefault="00E92924" w:rsidP="00E92924">
      <w:pPr>
        <w:pStyle w:val="ListParagraph"/>
        <w:numPr>
          <w:ilvl w:val="0"/>
          <w:numId w:val="21"/>
        </w:numPr>
        <w:rPr>
          <w:rFonts w:ascii="Verdana" w:hAnsi="Verdana"/>
          <w:lang w:val="sr-Latn-CS"/>
        </w:rPr>
      </w:pPr>
      <w:r>
        <w:rPr>
          <w:rFonts w:ascii="Verdana" w:hAnsi="Verdana"/>
          <w:lang w:val="sr-Latn-CS"/>
        </w:rPr>
        <w:t>direktna emisija</w:t>
      </w:r>
    </w:p>
    <w:p w:rsidR="00E92924" w:rsidRDefault="00E92924" w:rsidP="00E92924">
      <w:pPr>
        <w:pStyle w:val="ListParagraph"/>
        <w:numPr>
          <w:ilvl w:val="0"/>
          <w:numId w:val="1"/>
        </w:numPr>
        <w:rPr>
          <w:rFonts w:ascii="Verdana" w:hAnsi="Verdana"/>
          <w:lang w:val="sr-Latn-CS"/>
        </w:rPr>
      </w:pPr>
      <w:r>
        <w:rPr>
          <w:rFonts w:ascii="Verdana" w:hAnsi="Verdana"/>
          <w:lang w:val="sr-Latn-CS"/>
        </w:rPr>
        <w:t xml:space="preserve"> </w:t>
      </w:r>
      <w:r w:rsidR="00317F1B">
        <w:rPr>
          <w:rFonts w:ascii="Verdana" w:hAnsi="Verdana"/>
          <w:lang w:val="sr-Latn-CS"/>
        </w:rPr>
        <w:t xml:space="preserve"> </w:t>
      </w:r>
      <w:r w:rsidR="00317F1B">
        <w:rPr>
          <w:rFonts w:ascii="Verdana" w:hAnsi="Verdana"/>
          <w:b/>
          <w:lang w:val="sr-Latn-CS"/>
        </w:rPr>
        <w:t xml:space="preserve">Javna emisija  </w:t>
      </w:r>
      <w:r w:rsidR="00317F1B">
        <w:rPr>
          <w:rFonts w:ascii="Verdana" w:hAnsi="Verdana"/>
          <w:lang w:val="sr-Latn-CS"/>
        </w:rPr>
        <w:t xml:space="preserve">podrazumeva javnu ponudu korporativnih vrednosnih papira uz korišćenje usluga tzv. investicionih dilera čiji je osnovni zadatak da smanje rizik emisije, da otkupe emisiju koju onda za svoj račun prodaju javnosti, i samu prodaju tih papira. Za obavljanje tih zadataka oni dobijaju razliku u ceni između </w:t>
      </w:r>
      <w:r w:rsidR="00317F1B">
        <w:rPr>
          <w:rFonts w:ascii="Verdana" w:hAnsi="Verdana"/>
          <w:lang w:val="sr-Latn-CS"/>
        </w:rPr>
        <w:lastRenderedPageBreak/>
        <w:t>cene po kojoj oni otkupljuju HOV od emitenta i one po kojoj će oni prodavat javnosti tj investitorima.</w:t>
      </w:r>
    </w:p>
    <w:p w:rsidR="00317F1B" w:rsidRDefault="00317F1B" w:rsidP="00E92924">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 xml:space="preserve">Privelegovana emisija. </w:t>
      </w:r>
      <w:r>
        <w:rPr>
          <w:rFonts w:ascii="Verdana" w:hAnsi="Verdana"/>
          <w:lang w:val="sr-Latn-CS"/>
        </w:rPr>
        <w:t>Osnovnog motiv za izbor ovog tipa emisije je da se na određeni način nagradi lojalnost postojećih akcionara, da se oni čvršće vežu za preduzeće i vlasništvo koncetriše u rukama manjeg broja akcionara. Akcionari imaju pravo (opciju) da kupe nove akcije (ili obveznice) po nižoj ceni od ostalih investitora, u skladu sa pozitivnim zakonskim propisima.</w:t>
      </w:r>
    </w:p>
    <w:p w:rsidR="00317F1B" w:rsidRDefault="00317F1B" w:rsidP="00E92924">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 xml:space="preserve">Direktna emisija (prodaja) </w:t>
      </w:r>
      <w:r>
        <w:rPr>
          <w:rFonts w:ascii="Verdana" w:hAnsi="Verdana"/>
          <w:lang w:val="sr-Latn-CS"/>
        </w:rPr>
        <w:t>podrazumeva takav oblik emisije pri kome preduzeće ugovara emisiju direktno sa jednim ili grupom institucionalnih investitora (investicionih fondova) čime se eliminiše potreba osiguranja emisije.</w:t>
      </w:r>
    </w:p>
    <w:p w:rsidR="00317F1B" w:rsidRPr="00317F1B" w:rsidRDefault="00317F1B" w:rsidP="00E92924">
      <w:pPr>
        <w:pStyle w:val="ListParagraph"/>
        <w:numPr>
          <w:ilvl w:val="0"/>
          <w:numId w:val="1"/>
        </w:numPr>
        <w:rPr>
          <w:rFonts w:ascii="Verdana" w:hAnsi="Verdana"/>
          <w:lang w:val="sr-Latn-CS"/>
        </w:rPr>
      </w:pPr>
      <w:r>
        <w:rPr>
          <w:rFonts w:ascii="Verdana" w:hAnsi="Verdana"/>
          <w:b/>
          <w:lang w:val="sr-Latn-CS"/>
        </w:rPr>
        <w:t xml:space="preserve"> Obične akcije vlasniku obezbeđuju dve osnovne grupe prava:</w:t>
      </w:r>
    </w:p>
    <w:p w:rsidR="00317F1B" w:rsidRDefault="00317F1B" w:rsidP="00317F1B">
      <w:pPr>
        <w:pStyle w:val="ListParagraph"/>
        <w:numPr>
          <w:ilvl w:val="0"/>
          <w:numId w:val="22"/>
        </w:numPr>
        <w:rPr>
          <w:rFonts w:ascii="Verdana" w:hAnsi="Verdana"/>
          <w:lang w:val="sr-Latn-CS"/>
        </w:rPr>
      </w:pPr>
      <w:r>
        <w:rPr>
          <w:rFonts w:ascii="Verdana" w:hAnsi="Verdana"/>
          <w:lang w:val="sr-Latn-CS"/>
        </w:rPr>
        <w:t xml:space="preserve">upravljačka – po osnovu broja glasova i </w:t>
      </w:r>
    </w:p>
    <w:p w:rsidR="00317F1B" w:rsidRDefault="00317F1B" w:rsidP="00317F1B">
      <w:pPr>
        <w:pStyle w:val="ListParagraph"/>
        <w:numPr>
          <w:ilvl w:val="0"/>
          <w:numId w:val="22"/>
        </w:numPr>
        <w:rPr>
          <w:rFonts w:ascii="Verdana" w:hAnsi="Verdana"/>
          <w:lang w:val="sr-Latn-CS"/>
        </w:rPr>
      </w:pPr>
      <w:r>
        <w:rPr>
          <w:rFonts w:ascii="Verdana" w:hAnsi="Verdana"/>
          <w:lang w:val="sr-Latn-CS"/>
        </w:rPr>
        <w:t>prisvajačka – pravo na dividendu kao prinos na uloženi kapital</w:t>
      </w:r>
    </w:p>
    <w:p w:rsidR="00317F1B" w:rsidRDefault="00317F1B" w:rsidP="00317F1B">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 xml:space="preserve">Povlašćene ili prioritetne akcije. </w:t>
      </w:r>
      <w:r>
        <w:rPr>
          <w:rFonts w:ascii="Verdana" w:hAnsi="Verdana"/>
          <w:lang w:val="sr-Latn-CS"/>
        </w:rPr>
        <w:t>Njihova osnovna karakteristika je da vlasnicima obezbeđuju prioritetno pravo na dividenu prilikom raspodele neto profita, ali u limitaranom fiksnom iznosu kao i prioritetnije pravo namirenja iz likvidacione mase u odnosu na obične akcije.</w:t>
      </w:r>
    </w:p>
    <w:p w:rsidR="00317F1B" w:rsidRDefault="00317F1B" w:rsidP="00317F1B">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 xml:space="preserve">Akumulacioni dobitak </w:t>
      </w:r>
      <w:r w:rsidR="004E09E4">
        <w:rPr>
          <w:rFonts w:ascii="Verdana" w:hAnsi="Verdana"/>
          <w:lang w:val="sr-Latn-CS"/>
        </w:rPr>
        <w:t>predstavlja interni sopstveni i trajni kapital preduzeća nastao ulaganjem – reinvestiranjem dela neto dobiti (profita) u poslovanje preduzeća, nakon isplate dividendi.</w:t>
      </w:r>
    </w:p>
    <w:p w:rsidR="004E09E4" w:rsidRDefault="004E09E4" w:rsidP="00317F1B">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 xml:space="preserve">Finansijsko planiranje </w:t>
      </w:r>
      <w:r>
        <w:rPr>
          <w:rFonts w:ascii="Verdana" w:hAnsi="Verdana"/>
          <w:lang w:val="sr-Latn-CS"/>
        </w:rPr>
        <w:t>predstavlja predviđanje tj. unapred projektovano usmeravanje, usklađivanje i raspoređivanje elemenata finansijske funkcije preduzeća. Za razliku od poslovnog i računovodstvenog planiranja, ono ima za predmez planiranje finansijskih tokova i finansijskih truktura i konstrukcija.</w:t>
      </w:r>
    </w:p>
    <w:p w:rsidR="004E09E4" w:rsidRPr="004E09E4" w:rsidRDefault="004E09E4" w:rsidP="00317F1B">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Vrste finansijskih planova</w:t>
      </w:r>
    </w:p>
    <w:p w:rsidR="004E09E4" w:rsidRDefault="004E09E4" w:rsidP="004E09E4">
      <w:pPr>
        <w:pStyle w:val="ListParagraph"/>
        <w:numPr>
          <w:ilvl w:val="0"/>
          <w:numId w:val="23"/>
        </w:numPr>
        <w:rPr>
          <w:rFonts w:ascii="Verdana" w:hAnsi="Verdana"/>
          <w:lang w:val="sr-Latn-CS"/>
        </w:rPr>
      </w:pPr>
      <w:r>
        <w:rPr>
          <w:rFonts w:ascii="Verdana" w:hAnsi="Verdana"/>
          <w:lang w:val="sr-Latn-CS"/>
        </w:rPr>
        <w:t xml:space="preserve">redovnost sastavljanja </w:t>
      </w:r>
    </w:p>
    <w:p w:rsidR="004E09E4" w:rsidRDefault="004E09E4" w:rsidP="004E09E4">
      <w:pPr>
        <w:pStyle w:val="ListParagraph"/>
        <w:numPr>
          <w:ilvl w:val="0"/>
          <w:numId w:val="24"/>
        </w:numPr>
        <w:rPr>
          <w:rFonts w:ascii="Verdana" w:hAnsi="Verdana"/>
          <w:lang w:val="sr-Latn-CS"/>
        </w:rPr>
      </w:pPr>
      <w:r>
        <w:rPr>
          <w:rFonts w:ascii="Verdana" w:hAnsi="Verdana"/>
          <w:lang w:val="sr-Latn-CS"/>
        </w:rPr>
        <w:t>tekući finansijski plan</w:t>
      </w:r>
    </w:p>
    <w:p w:rsidR="004E09E4" w:rsidRDefault="004E09E4" w:rsidP="004E09E4">
      <w:pPr>
        <w:pStyle w:val="ListParagraph"/>
        <w:numPr>
          <w:ilvl w:val="0"/>
          <w:numId w:val="24"/>
        </w:numPr>
        <w:rPr>
          <w:rFonts w:ascii="Verdana" w:hAnsi="Verdana"/>
          <w:lang w:val="sr-Latn-CS"/>
        </w:rPr>
      </w:pPr>
      <w:r>
        <w:rPr>
          <w:rFonts w:ascii="Verdana" w:hAnsi="Verdana"/>
          <w:lang w:val="sr-Latn-CS"/>
        </w:rPr>
        <w:t>jednokratni finansijski plan</w:t>
      </w:r>
    </w:p>
    <w:p w:rsidR="004E09E4" w:rsidRDefault="004E09E4" w:rsidP="004E09E4">
      <w:pPr>
        <w:pStyle w:val="ListParagraph"/>
        <w:numPr>
          <w:ilvl w:val="0"/>
          <w:numId w:val="23"/>
        </w:numPr>
        <w:rPr>
          <w:rFonts w:ascii="Verdana" w:hAnsi="Verdana"/>
          <w:lang w:val="sr-Latn-CS"/>
        </w:rPr>
      </w:pPr>
      <w:r>
        <w:rPr>
          <w:rFonts w:ascii="Verdana" w:hAnsi="Verdana"/>
          <w:lang w:val="sr-Latn-CS"/>
        </w:rPr>
        <w:t>vremenski period za koji se sačinjava</w:t>
      </w:r>
    </w:p>
    <w:p w:rsidR="004E09E4" w:rsidRDefault="004E09E4" w:rsidP="004E09E4">
      <w:pPr>
        <w:pStyle w:val="ListParagraph"/>
        <w:numPr>
          <w:ilvl w:val="0"/>
          <w:numId w:val="25"/>
        </w:numPr>
        <w:rPr>
          <w:rFonts w:ascii="Verdana" w:hAnsi="Verdana"/>
          <w:lang w:val="sr-Latn-CS"/>
        </w:rPr>
      </w:pPr>
      <w:r>
        <w:rPr>
          <w:rFonts w:ascii="Verdana" w:hAnsi="Verdana"/>
          <w:lang w:val="sr-Latn-CS"/>
        </w:rPr>
        <w:t>perspektivni finansijski plan</w:t>
      </w:r>
    </w:p>
    <w:p w:rsidR="004E09E4" w:rsidRDefault="004E09E4" w:rsidP="004E09E4">
      <w:pPr>
        <w:pStyle w:val="ListParagraph"/>
        <w:numPr>
          <w:ilvl w:val="0"/>
          <w:numId w:val="25"/>
        </w:numPr>
        <w:rPr>
          <w:rFonts w:ascii="Verdana" w:hAnsi="Verdana"/>
          <w:lang w:val="sr-Latn-CS"/>
        </w:rPr>
      </w:pPr>
      <w:r>
        <w:rPr>
          <w:rFonts w:ascii="Verdana" w:hAnsi="Verdana"/>
          <w:lang w:val="sr-Latn-CS"/>
        </w:rPr>
        <w:t>osnovni (godišnji) finansijski plan</w:t>
      </w:r>
    </w:p>
    <w:p w:rsidR="004E09E4" w:rsidRDefault="004E09E4" w:rsidP="004E09E4">
      <w:pPr>
        <w:pStyle w:val="ListParagraph"/>
        <w:numPr>
          <w:ilvl w:val="0"/>
          <w:numId w:val="25"/>
        </w:numPr>
        <w:rPr>
          <w:rFonts w:ascii="Verdana" w:hAnsi="Verdana"/>
          <w:lang w:val="sr-Latn-CS"/>
        </w:rPr>
      </w:pPr>
      <w:r>
        <w:rPr>
          <w:rFonts w:ascii="Verdana" w:hAnsi="Verdana"/>
          <w:lang w:val="sr-Latn-CS"/>
        </w:rPr>
        <w:t>operatvinvni finansijski plan</w:t>
      </w:r>
    </w:p>
    <w:p w:rsidR="004E09E4" w:rsidRDefault="004E09E4" w:rsidP="004E09E4">
      <w:pPr>
        <w:pStyle w:val="ListParagraph"/>
        <w:numPr>
          <w:ilvl w:val="0"/>
          <w:numId w:val="23"/>
        </w:numPr>
        <w:rPr>
          <w:rFonts w:ascii="Verdana" w:hAnsi="Verdana"/>
          <w:lang w:val="sr-Latn-CS"/>
        </w:rPr>
      </w:pPr>
      <w:r>
        <w:rPr>
          <w:rFonts w:ascii="Verdana" w:hAnsi="Verdana"/>
          <w:lang w:val="sr-Latn-CS"/>
        </w:rPr>
        <w:t>svrha sastvaljanja</w:t>
      </w:r>
    </w:p>
    <w:p w:rsidR="004E09E4" w:rsidRDefault="004E09E4" w:rsidP="004E09E4">
      <w:pPr>
        <w:pStyle w:val="ListParagraph"/>
        <w:numPr>
          <w:ilvl w:val="0"/>
          <w:numId w:val="26"/>
        </w:numPr>
        <w:rPr>
          <w:rFonts w:ascii="Verdana" w:hAnsi="Verdana"/>
          <w:lang w:val="sr-Latn-CS"/>
        </w:rPr>
      </w:pPr>
      <w:r>
        <w:rPr>
          <w:rFonts w:ascii="Verdana" w:hAnsi="Verdana"/>
          <w:lang w:val="sr-Latn-CS"/>
        </w:rPr>
        <w:t>planovi priliva i odliva – planovi novčanih sredstava i planovi likvidnosti</w:t>
      </w:r>
    </w:p>
    <w:p w:rsidR="004E09E4" w:rsidRDefault="004E09E4" w:rsidP="004E09E4">
      <w:pPr>
        <w:pStyle w:val="ListParagraph"/>
        <w:numPr>
          <w:ilvl w:val="0"/>
          <w:numId w:val="26"/>
        </w:numPr>
        <w:rPr>
          <w:rFonts w:ascii="Verdana" w:hAnsi="Verdana"/>
          <w:lang w:val="sr-Latn-CS"/>
        </w:rPr>
      </w:pPr>
      <w:r>
        <w:rPr>
          <w:rFonts w:ascii="Verdana" w:hAnsi="Verdana"/>
          <w:lang w:val="sr-Latn-CS"/>
        </w:rPr>
        <w:t>planovi pojedinih vrsta sredstava i njihovih izvora (planovi obrtnih sredstava; planovi stalnih sredstava itd)</w:t>
      </w:r>
    </w:p>
    <w:p w:rsidR="004E09E4" w:rsidRDefault="004E09E4" w:rsidP="004E09E4">
      <w:pPr>
        <w:pStyle w:val="ListParagraph"/>
        <w:numPr>
          <w:ilvl w:val="0"/>
          <w:numId w:val="26"/>
        </w:numPr>
        <w:rPr>
          <w:rFonts w:ascii="Verdana" w:hAnsi="Verdana"/>
          <w:lang w:val="sr-Latn-CS"/>
        </w:rPr>
      </w:pPr>
      <w:r>
        <w:rPr>
          <w:rFonts w:ascii="Verdana" w:hAnsi="Verdana"/>
          <w:lang w:val="sr-Latn-CS"/>
        </w:rPr>
        <w:t>planovi prihoda i rashoda tj. bruto i neto dobiti</w:t>
      </w:r>
    </w:p>
    <w:p w:rsidR="004E09E4" w:rsidRDefault="004E09E4" w:rsidP="004E09E4">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Zadat</w:t>
      </w:r>
      <w:r w:rsidR="003B0201">
        <w:rPr>
          <w:rFonts w:ascii="Verdana" w:hAnsi="Verdana"/>
          <w:b/>
          <w:lang w:val="sr-Latn-CS"/>
        </w:rPr>
        <w:t xml:space="preserve">k plana novčanih tokova </w:t>
      </w:r>
      <w:r w:rsidR="003B0201">
        <w:rPr>
          <w:rFonts w:ascii="Verdana" w:hAnsi="Verdana"/>
          <w:lang w:val="sr-Latn-CS"/>
        </w:rPr>
        <w:t>sastoji se u tome da menadžmentu preduzeća pruži podatke o</w:t>
      </w:r>
    </w:p>
    <w:p w:rsidR="003B0201" w:rsidRDefault="003B0201" w:rsidP="003B0201">
      <w:pPr>
        <w:pStyle w:val="ListParagraph"/>
        <w:numPr>
          <w:ilvl w:val="0"/>
          <w:numId w:val="31"/>
        </w:numPr>
        <w:rPr>
          <w:rFonts w:ascii="Verdana" w:hAnsi="Verdana"/>
          <w:lang w:val="sr-Latn-CS"/>
        </w:rPr>
      </w:pPr>
      <w:r>
        <w:rPr>
          <w:rFonts w:ascii="Verdana" w:hAnsi="Verdana"/>
          <w:lang w:val="sr-Latn-CS"/>
        </w:rPr>
        <w:t>proceni očekujućeg priliva novčanih sredstava u toku svakog pojedinačnog vremenskog perioda koji predstavlja deo plana</w:t>
      </w:r>
    </w:p>
    <w:p w:rsidR="003B0201" w:rsidRDefault="003B0201" w:rsidP="003B0201">
      <w:pPr>
        <w:pStyle w:val="ListParagraph"/>
        <w:numPr>
          <w:ilvl w:val="0"/>
          <w:numId w:val="31"/>
        </w:numPr>
        <w:rPr>
          <w:rFonts w:ascii="Verdana" w:hAnsi="Verdana"/>
          <w:lang w:val="sr-Latn-CS"/>
        </w:rPr>
      </w:pPr>
      <w:r>
        <w:rPr>
          <w:rFonts w:ascii="Verdana" w:hAnsi="Verdana"/>
          <w:lang w:val="sr-Latn-CS"/>
        </w:rPr>
        <w:t>proceni novčanih odliva u toku svakog vremenskog perioda koji predstavlja deo plana</w:t>
      </w:r>
    </w:p>
    <w:p w:rsidR="003B0201" w:rsidRDefault="003B0201" w:rsidP="003B0201">
      <w:pPr>
        <w:pStyle w:val="ListParagraph"/>
        <w:numPr>
          <w:ilvl w:val="0"/>
          <w:numId w:val="31"/>
        </w:numPr>
        <w:rPr>
          <w:rFonts w:ascii="Verdana" w:hAnsi="Verdana"/>
          <w:lang w:val="sr-Latn-CS"/>
        </w:rPr>
      </w:pPr>
      <w:r>
        <w:rPr>
          <w:rFonts w:ascii="Verdana" w:hAnsi="Verdana"/>
          <w:lang w:val="sr-Latn-CS"/>
        </w:rPr>
        <w:lastRenderedPageBreak/>
        <w:t>proceni salda gotovine na kraju svakog pojedinačnog vremenskog perioda u radu</w:t>
      </w:r>
    </w:p>
    <w:p w:rsidR="003B0201" w:rsidRDefault="003B0201" w:rsidP="003B0201">
      <w:pPr>
        <w:pStyle w:val="ListParagraph"/>
        <w:numPr>
          <w:ilvl w:val="0"/>
          <w:numId w:val="31"/>
        </w:numPr>
        <w:rPr>
          <w:rFonts w:ascii="Verdana" w:hAnsi="Verdana"/>
          <w:lang w:val="sr-Latn-CS"/>
        </w:rPr>
      </w:pPr>
      <w:r>
        <w:rPr>
          <w:rFonts w:ascii="Verdana" w:hAnsi="Verdana"/>
          <w:lang w:val="sr-Latn-CS"/>
        </w:rPr>
        <w:t>razlici koja se pojavi na kraju svakog pojedinačnog vremenskog perioda između odnosa gotovine koja se očekuje da će biti na raspolaganju i sume koje se smatra „ normalnom“ ili potrebnom</w:t>
      </w:r>
    </w:p>
    <w:p w:rsidR="003B0201" w:rsidRDefault="003B0201" w:rsidP="003B0201">
      <w:pPr>
        <w:pStyle w:val="ListParagraph"/>
        <w:numPr>
          <w:ilvl w:val="0"/>
          <w:numId w:val="31"/>
        </w:numPr>
        <w:rPr>
          <w:rFonts w:ascii="Verdana" w:hAnsi="Verdana"/>
          <w:lang w:val="sr-Latn-CS"/>
        </w:rPr>
      </w:pPr>
      <w:r>
        <w:rPr>
          <w:rFonts w:ascii="Verdana" w:hAnsi="Verdana"/>
          <w:lang w:val="sr-Latn-CS"/>
        </w:rPr>
        <w:t>predviđanju kada se poveća nivo gotovine da bi se saldo gotovine doveo do potrebnog nivoa za svaki pojedini vremenski period u okviru plana</w:t>
      </w:r>
    </w:p>
    <w:p w:rsidR="003B0201" w:rsidRDefault="003B0201" w:rsidP="003B0201">
      <w:pPr>
        <w:pStyle w:val="ListParagraph"/>
        <w:numPr>
          <w:ilvl w:val="0"/>
          <w:numId w:val="31"/>
        </w:numPr>
        <w:rPr>
          <w:rFonts w:ascii="Verdana" w:hAnsi="Verdana"/>
          <w:lang w:val="sr-Latn-CS"/>
        </w:rPr>
      </w:pPr>
      <w:r>
        <w:rPr>
          <w:rFonts w:ascii="Verdana" w:hAnsi="Verdana"/>
          <w:lang w:val="sr-Latn-CS"/>
        </w:rPr>
        <w:t>predviđanju o tome koja dodatna sredstva treba da budu pozajmljena sa ciljem da se podigne nivo gotovine i koliko dugo su ta pozajmljena sredstva potrebna</w:t>
      </w:r>
    </w:p>
    <w:p w:rsidR="003B0201" w:rsidRDefault="003B0201" w:rsidP="003B0201">
      <w:pPr>
        <w:pStyle w:val="ListParagraph"/>
        <w:numPr>
          <w:ilvl w:val="0"/>
          <w:numId w:val="31"/>
        </w:numPr>
        <w:rPr>
          <w:rFonts w:ascii="Verdana" w:hAnsi="Verdana"/>
          <w:lang w:val="sr-Latn-CS"/>
        </w:rPr>
      </w:pPr>
      <w:r>
        <w:rPr>
          <w:rFonts w:ascii="Verdana" w:hAnsi="Verdana"/>
          <w:lang w:val="sr-Latn-CS"/>
        </w:rPr>
        <w:t>predviđanu o tome kada i u kom iznosu pozajmljena gotovina može biti vraćena na osnovu očekujućih gotovinskih primanja</w:t>
      </w:r>
    </w:p>
    <w:p w:rsidR="003B0201" w:rsidRDefault="003B0201" w:rsidP="003B0201">
      <w:pPr>
        <w:pStyle w:val="ListParagraph"/>
        <w:numPr>
          <w:ilvl w:val="0"/>
          <w:numId w:val="31"/>
        </w:numPr>
        <w:rPr>
          <w:rFonts w:ascii="Verdana" w:hAnsi="Verdana"/>
          <w:lang w:val="sr-Latn-CS"/>
        </w:rPr>
      </w:pPr>
      <w:r>
        <w:rPr>
          <w:rFonts w:ascii="Verdana" w:hAnsi="Verdana"/>
          <w:lang w:val="sr-Latn-CS"/>
        </w:rPr>
        <w:t>u poređenju stvarnih uplata i isplata sa predviđenim uplatama i isplatama po proteku pojedinog vremenskog perioda, tako da se može sprovoditi bolja kontrola gotovine</w:t>
      </w:r>
    </w:p>
    <w:p w:rsidR="003B0201" w:rsidRDefault="003B0201" w:rsidP="003B0201">
      <w:pPr>
        <w:pStyle w:val="ListParagraph"/>
        <w:numPr>
          <w:ilvl w:val="0"/>
          <w:numId w:val="1"/>
        </w:numPr>
        <w:rPr>
          <w:rFonts w:ascii="Verdana" w:hAnsi="Verdana"/>
          <w:lang w:val="sr-Latn-CS"/>
        </w:rPr>
      </w:pPr>
      <w:r>
        <w:rPr>
          <w:rFonts w:ascii="Verdana" w:hAnsi="Verdana"/>
          <w:lang w:val="sr-Latn-CS"/>
        </w:rPr>
        <w:t xml:space="preserve"> </w:t>
      </w:r>
      <w:r w:rsidR="001629C6">
        <w:rPr>
          <w:rFonts w:ascii="Verdana" w:hAnsi="Verdana"/>
          <w:b/>
          <w:lang w:val="sr-Latn-CS"/>
        </w:rPr>
        <w:t xml:space="preserve">U čemu se sastoji polazna pretpostavka mudrog finansijskog plana? </w:t>
      </w:r>
      <w:r w:rsidR="001629C6">
        <w:rPr>
          <w:rFonts w:ascii="Verdana" w:hAnsi="Verdana"/>
          <w:lang w:val="sr-Latn-CS"/>
        </w:rPr>
        <w:t>Sastoji se u održavanju optimalne likvidnosti koja se definiše kao zahtev za raspolaganjem sredstvima plaćanja dovoljnim za izvršenje dospelih obaveza, uz uslov da se ne nameću šete šansama koje stoje na putu najveće moguće rentabilnosti. Preduzeću ne odgovara stanje preterane likvidnosti, isto onako kao što mu ne odgovara ni stanje nedovoljne likvidnosti.</w:t>
      </w:r>
    </w:p>
    <w:p w:rsidR="00B23ABF" w:rsidRPr="00B23ABF" w:rsidRDefault="001629C6" w:rsidP="003B0201">
      <w:pPr>
        <w:pStyle w:val="ListParagraph"/>
        <w:numPr>
          <w:ilvl w:val="0"/>
          <w:numId w:val="1"/>
        </w:numPr>
        <w:rPr>
          <w:rFonts w:ascii="Verdana" w:hAnsi="Verdana"/>
          <w:lang w:val="sr-Latn-CS"/>
        </w:rPr>
      </w:pPr>
      <w:r>
        <w:rPr>
          <w:rFonts w:ascii="Verdana" w:hAnsi="Verdana"/>
          <w:lang w:val="sr-Latn-CS"/>
        </w:rPr>
        <w:t xml:space="preserve"> </w:t>
      </w:r>
      <w:r w:rsidR="00B23ABF">
        <w:rPr>
          <w:rFonts w:ascii="Verdana" w:hAnsi="Verdana"/>
          <w:b/>
          <w:lang w:val="sr-Latn-CS"/>
        </w:rPr>
        <w:t>Budžetiranje (3 tipa finansijkog planiranja):</w:t>
      </w:r>
    </w:p>
    <w:p w:rsidR="001629C6" w:rsidRDefault="00B23ABF" w:rsidP="00B23ABF">
      <w:pPr>
        <w:pStyle w:val="ListParagraph"/>
        <w:numPr>
          <w:ilvl w:val="0"/>
          <w:numId w:val="33"/>
        </w:numPr>
        <w:rPr>
          <w:rFonts w:ascii="Verdana" w:hAnsi="Verdana"/>
          <w:lang w:val="sr-Latn-CS"/>
        </w:rPr>
      </w:pPr>
      <w:r w:rsidRPr="00B23ABF">
        <w:rPr>
          <w:rFonts w:ascii="Verdana" w:hAnsi="Verdana"/>
          <w:u w:val="single"/>
          <w:lang w:val="sr-Latn-CS"/>
        </w:rPr>
        <w:t>Profitno planiranje</w:t>
      </w:r>
      <w:r>
        <w:rPr>
          <w:rFonts w:ascii="Verdana" w:hAnsi="Verdana"/>
          <w:lang w:val="sr-Latn-CS"/>
        </w:rPr>
        <w:t xml:space="preserve"> je procenjivanje prognoze prodaja, prozvodnih obima koji su neophodni da se zadovolji prognoza prodaja, i troškova poslovanja koje treba načiniti u proizvodnji i administraciji. Profitno planiranje ne utvrđuje samo predviđeni nivo dobiti, već i osetljivost te dobiti na promene u prodajama i/ili troškovima.</w:t>
      </w:r>
    </w:p>
    <w:p w:rsidR="00B23ABF" w:rsidRDefault="00B23ABF" w:rsidP="00B23ABF">
      <w:pPr>
        <w:pStyle w:val="ListParagraph"/>
        <w:numPr>
          <w:ilvl w:val="0"/>
          <w:numId w:val="33"/>
        </w:numPr>
        <w:rPr>
          <w:rFonts w:ascii="Verdana" w:hAnsi="Verdana"/>
          <w:lang w:val="sr-Latn-CS"/>
        </w:rPr>
      </w:pPr>
      <w:r>
        <w:rPr>
          <w:rFonts w:ascii="Verdana" w:hAnsi="Verdana"/>
          <w:u w:val="single"/>
          <w:lang w:val="sr-Latn-CS"/>
        </w:rPr>
        <w:t xml:space="preserve">Kratkoročno finansijsko planiranje </w:t>
      </w:r>
      <w:r>
        <w:rPr>
          <w:rFonts w:ascii="Verdana" w:hAnsi="Verdana"/>
          <w:lang w:val="sr-Latn-CS"/>
        </w:rPr>
        <w:t>je razrada godišnjeg gotovinskog budžeta i njegova primena za predviđanje gotovinskih tokova firme, gotovniskih viškova i deficita, i svih mogućih finansijskih efekata koji odatle rezultiraju. I krat. fin. planiranju postoje 2 komponente: godišnji budžet i mesečni budžet gotovinskih tokova</w:t>
      </w:r>
    </w:p>
    <w:p w:rsidR="00B23ABF" w:rsidRDefault="00B23ABF" w:rsidP="00B23ABF">
      <w:pPr>
        <w:pStyle w:val="ListParagraph"/>
        <w:numPr>
          <w:ilvl w:val="0"/>
          <w:numId w:val="33"/>
        </w:numPr>
        <w:rPr>
          <w:rFonts w:ascii="Verdana" w:hAnsi="Verdana"/>
          <w:lang w:val="sr-Latn-CS"/>
        </w:rPr>
      </w:pPr>
      <w:r>
        <w:rPr>
          <w:rFonts w:ascii="Verdana" w:hAnsi="Verdana"/>
          <w:u w:val="single"/>
          <w:lang w:val="sr-Latn-CS"/>
        </w:rPr>
        <w:t>Dugoročno finansijsko planiranje</w:t>
      </w:r>
      <w:r w:rsidRPr="00B23ABF">
        <w:rPr>
          <w:rFonts w:ascii="Verdana" w:hAnsi="Verdana"/>
          <w:lang w:val="sr-Latn-CS"/>
        </w:rPr>
        <w:t xml:space="preserve"> </w:t>
      </w:r>
      <w:r>
        <w:rPr>
          <w:rFonts w:ascii="Verdana" w:hAnsi="Verdana"/>
          <w:lang w:val="sr-Latn-CS"/>
        </w:rPr>
        <w:t>pomaže rukovodstvu u planiranju fondovskih potreba (tj. potreba finansiranja) za budući rast firme. Dugoročno fin. planiranje sadrži dve glavne komponente: proces utvrđivanja izglednih gotovinskih tokova i proces kapitalnog budžetiranja.</w:t>
      </w:r>
    </w:p>
    <w:p w:rsidR="00B23ABF" w:rsidRPr="00B23ABF" w:rsidRDefault="00B23ABF" w:rsidP="00B23ABF">
      <w:pPr>
        <w:pStyle w:val="ListParagraph"/>
        <w:numPr>
          <w:ilvl w:val="0"/>
          <w:numId w:val="1"/>
        </w:numPr>
        <w:rPr>
          <w:rFonts w:ascii="Verdana" w:hAnsi="Verdana"/>
          <w:lang w:val="sr-Latn-CS"/>
        </w:rPr>
      </w:pPr>
      <w:r>
        <w:rPr>
          <w:rFonts w:ascii="Verdana" w:hAnsi="Verdana"/>
          <w:b/>
          <w:lang w:val="sr-Latn-CS"/>
        </w:rPr>
        <w:t>Vrste bilansa:</w:t>
      </w:r>
    </w:p>
    <w:p w:rsidR="00B23ABF" w:rsidRDefault="00B23ABF" w:rsidP="00B23ABF">
      <w:pPr>
        <w:pStyle w:val="ListParagraph"/>
        <w:numPr>
          <w:ilvl w:val="1"/>
          <w:numId w:val="1"/>
        </w:numPr>
        <w:rPr>
          <w:rFonts w:ascii="Verdana" w:hAnsi="Verdana"/>
          <w:lang w:val="sr-Latn-CS"/>
        </w:rPr>
      </w:pPr>
      <w:r>
        <w:rPr>
          <w:rFonts w:ascii="Verdana" w:hAnsi="Verdana"/>
          <w:lang w:val="sr-Latn-CS"/>
        </w:rPr>
        <w:t>osnivački (početni) bilansi</w:t>
      </w:r>
    </w:p>
    <w:p w:rsidR="00B23ABF" w:rsidRDefault="00B23ABF" w:rsidP="00B23ABF">
      <w:pPr>
        <w:pStyle w:val="ListParagraph"/>
        <w:numPr>
          <w:ilvl w:val="1"/>
          <w:numId w:val="1"/>
        </w:numPr>
        <w:rPr>
          <w:rFonts w:ascii="Verdana" w:hAnsi="Verdana"/>
          <w:lang w:val="sr-Latn-CS"/>
        </w:rPr>
      </w:pPr>
      <w:r>
        <w:rPr>
          <w:rFonts w:ascii="Verdana" w:hAnsi="Verdana"/>
          <w:lang w:val="sr-Latn-CS"/>
        </w:rPr>
        <w:t>periodični  bilansi</w:t>
      </w:r>
    </w:p>
    <w:p w:rsidR="00B23ABF" w:rsidRDefault="00B23ABF" w:rsidP="00B23ABF">
      <w:pPr>
        <w:pStyle w:val="ListParagraph"/>
        <w:numPr>
          <w:ilvl w:val="1"/>
          <w:numId w:val="1"/>
        </w:numPr>
        <w:rPr>
          <w:rFonts w:ascii="Verdana" w:hAnsi="Verdana"/>
          <w:lang w:val="sr-Latn-CS"/>
        </w:rPr>
      </w:pPr>
      <w:r>
        <w:rPr>
          <w:rFonts w:ascii="Verdana" w:hAnsi="Verdana"/>
          <w:lang w:val="sr-Latn-CS"/>
        </w:rPr>
        <w:t>kratkoročni bilansi</w:t>
      </w:r>
    </w:p>
    <w:p w:rsidR="00B23ABF" w:rsidRDefault="00B23ABF" w:rsidP="00B23ABF">
      <w:pPr>
        <w:pStyle w:val="ListParagraph"/>
        <w:numPr>
          <w:ilvl w:val="1"/>
          <w:numId w:val="1"/>
        </w:numPr>
        <w:rPr>
          <w:rFonts w:ascii="Verdana" w:hAnsi="Verdana"/>
          <w:lang w:val="sr-Latn-CS"/>
        </w:rPr>
      </w:pPr>
      <w:r>
        <w:rPr>
          <w:rFonts w:ascii="Verdana" w:hAnsi="Verdana"/>
          <w:lang w:val="sr-Latn-CS"/>
        </w:rPr>
        <w:t>poreski (fiskalni) bilansi</w:t>
      </w:r>
    </w:p>
    <w:p w:rsidR="00B23ABF" w:rsidRDefault="00B23ABF" w:rsidP="00B23ABF">
      <w:pPr>
        <w:pStyle w:val="ListParagraph"/>
        <w:numPr>
          <w:ilvl w:val="1"/>
          <w:numId w:val="1"/>
        </w:numPr>
        <w:rPr>
          <w:rFonts w:ascii="Verdana" w:hAnsi="Verdana"/>
          <w:lang w:val="sr-Latn-CS"/>
        </w:rPr>
      </w:pPr>
      <w:r>
        <w:rPr>
          <w:rFonts w:ascii="Verdana" w:hAnsi="Verdana"/>
          <w:lang w:val="sr-Latn-CS"/>
        </w:rPr>
        <w:t>kreditni bilansi</w:t>
      </w:r>
    </w:p>
    <w:p w:rsidR="00B23ABF" w:rsidRDefault="00B23ABF" w:rsidP="00B23ABF">
      <w:pPr>
        <w:pStyle w:val="ListParagraph"/>
        <w:numPr>
          <w:ilvl w:val="1"/>
          <w:numId w:val="1"/>
        </w:numPr>
        <w:rPr>
          <w:rFonts w:ascii="Verdana" w:hAnsi="Verdana"/>
          <w:lang w:val="sr-Latn-CS"/>
        </w:rPr>
      </w:pPr>
      <w:r>
        <w:rPr>
          <w:rFonts w:ascii="Verdana" w:hAnsi="Verdana"/>
          <w:lang w:val="sr-Latn-CS"/>
        </w:rPr>
        <w:t>fuzioni bilansi</w:t>
      </w:r>
    </w:p>
    <w:p w:rsidR="007E6AED" w:rsidRDefault="00B23ABF" w:rsidP="00B23ABF">
      <w:pPr>
        <w:pStyle w:val="ListParagraph"/>
        <w:numPr>
          <w:ilvl w:val="1"/>
          <w:numId w:val="1"/>
        </w:numPr>
        <w:rPr>
          <w:rFonts w:ascii="Verdana" w:hAnsi="Verdana"/>
          <w:lang w:val="sr-Latn-CS"/>
        </w:rPr>
      </w:pPr>
      <w:r>
        <w:rPr>
          <w:rFonts w:ascii="Verdana" w:hAnsi="Verdana"/>
          <w:lang w:val="sr-Latn-CS"/>
        </w:rPr>
        <w:lastRenderedPageBreak/>
        <w:t>konsolidovani bilansi</w:t>
      </w:r>
    </w:p>
    <w:p w:rsidR="00B23ABF" w:rsidRDefault="007E6AED" w:rsidP="00B23ABF">
      <w:pPr>
        <w:pStyle w:val="ListParagraph"/>
        <w:numPr>
          <w:ilvl w:val="1"/>
          <w:numId w:val="1"/>
        </w:numPr>
        <w:rPr>
          <w:rFonts w:ascii="Verdana" w:hAnsi="Verdana"/>
          <w:lang w:val="sr-Latn-CS"/>
        </w:rPr>
      </w:pPr>
      <w:r>
        <w:rPr>
          <w:rFonts w:ascii="Verdana" w:hAnsi="Verdana"/>
          <w:lang w:val="sr-Latn-CS"/>
        </w:rPr>
        <w:t>godišnji završni bilansi</w:t>
      </w:r>
    </w:p>
    <w:p w:rsidR="007E6AED" w:rsidRDefault="007E6AED" w:rsidP="007E6AED">
      <w:pPr>
        <w:pStyle w:val="ListParagraph"/>
        <w:numPr>
          <w:ilvl w:val="1"/>
          <w:numId w:val="1"/>
        </w:numPr>
        <w:rPr>
          <w:rFonts w:ascii="Verdana" w:hAnsi="Verdana"/>
          <w:lang w:val="sr-Latn-CS"/>
        </w:rPr>
      </w:pPr>
      <w:r>
        <w:rPr>
          <w:rFonts w:ascii="Verdana" w:hAnsi="Verdana"/>
          <w:lang w:val="sr-Latn-CS"/>
        </w:rPr>
        <w:t>bilansi saniranja</w:t>
      </w:r>
    </w:p>
    <w:p w:rsidR="007E6AED" w:rsidRDefault="007E6AED" w:rsidP="007E6AED">
      <w:pPr>
        <w:pStyle w:val="ListParagraph"/>
        <w:numPr>
          <w:ilvl w:val="1"/>
          <w:numId w:val="1"/>
        </w:numPr>
        <w:ind w:left="1560" w:hanging="480"/>
        <w:rPr>
          <w:rFonts w:ascii="Verdana" w:hAnsi="Verdana"/>
          <w:lang w:val="sr-Latn-CS"/>
        </w:rPr>
      </w:pPr>
      <w:r>
        <w:rPr>
          <w:rFonts w:ascii="Verdana" w:hAnsi="Verdana"/>
          <w:lang w:val="sr-Latn-CS"/>
        </w:rPr>
        <w:t>lividacioni bilansi</w:t>
      </w:r>
    </w:p>
    <w:p w:rsidR="007E6AED" w:rsidRDefault="007E6AED" w:rsidP="007E6AED">
      <w:pPr>
        <w:pStyle w:val="ListParagraph"/>
        <w:numPr>
          <w:ilvl w:val="1"/>
          <w:numId w:val="1"/>
        </w:numPr>
        <w:ind w:left="1560" w:hanging="480"/>
        <w:rPr>
          <w:rFonts w:ascii="Verdana" w:hAnsi="Verdana"/>
          <w:lang w:val="sr-Latn-CS"/>
        </w:rPr>
      </w:pPr>
      <w:r>
        <w:rPr>
          <w:rFonts w:ascii="Verdana" w:hAnsi="Verdana"/>
          <w:lang w:val="sr-Latn-CS"/>
        </w:rPr>
        <w:t>integralni bilansi</w:t>
      </w:r>
    </w:p>
    <w:p w:rsidR="007E6AED" w:rsidRDefault="007E6AED" w:rsidP="007E6AED">
      <w:pPr>
        <w:pStyle w:val="ListParagraph"/>
        <w:numPr>
          <w:ilvl w:val="1"/>
          <w:numId w:val="1"/>
        </w:numPr>
        <w:ind w:left="1560" w:hanging="480"/>
        <w:rPr>
          <w:rFonts w:ascii="Verdana" w:hAnsi="Verdana"/>
          <w:lang w:val="sr-Latn-CS"/>
        </w:rPr>
      </w:pPr>
      <w:r>
        <w:rPr>
          <w:rFonts w:ascii="Verdana" w:hAnsi="Verdana"/>
          <w:lang w:val="sr-Latn-CS"/>
        </w:rPr>
        <w:t>knjigovodstveni bilansi (prometni i saldo bilansi)</w:t>
      </w:r>
    </w:p>
    <w:p w:rsidR="007E6AED" w:rsidRPr="007E6AED" w:rsidRDefault="007E6AED" w:rsidP="007E6AED">
      <w:pPr>
        <w:pStyle w:val="ListParagraph"/>
        <w:numPr>
          <w:ilvl w:val="1"/>
          <w:numId w:val="1"/>
        </w:numPr>
        <w:ind w:left="1560" w:hanging="480"/>
        <w:rPr>
          <w:rFonts w:ascii="Verdana" w:hAnsi="Verdana"/>
          <w:lang w:val="sr-Latn-CS"/>
        </w:rPr>
      </w:pPr>
      <w:r>
        <w:rPr>
          <w:rFonts w:ascii="Verdana" w:hAnsi="Verdana"/>
          <w:lang w:val="sr-Latn-CS"/>
        </w:rPr>
        <w:t>inventarni i uspešni bilansi</w:t>
      </w:r>
    </w:p>
    <w:p w:rsidR="00B23ABF" w:rsidRPr="007E6AED" w:rsidRDefault="007E6AED" w:rsidP="007E6AED">
      <w:pPr>
        <w:pStyle w:val="ListParagraph"/>
        <w:numPr>
          <w:ilvl w:val="0"/>
          <w:numId w:val="1"/>
        </w:numPr>
        <w:rPr>
          <w:rFonts w:ascii="Verdana" w:hAnsi="Verdana"/>
          <w:lang w:val="sr-Latn-CS"/>
        </w:rPr>
      </w:pPr>
      <w:r>
        <w:rPr>
          <w:rFonts w:ascii="Verdana" w:hAnsi="Verdana"/>
          <w:lang w:val="sr-Latn-CS"/>
        </w:rPr>
        <w:t xml:space="preserve"> </w:t>
      </w:r>
      <w:r>
        <w:rPr>
          <w:rFonts w:ascii="Verdana" w:hAnsi="Verdana"/>
          <w:b/>
          <w:lang w:val="sr-Latn-CS"/>
        </w:rPr>
        <w:t>Izračunavanje poslovnog dobitka, primer iz knjige – STRANA 406.</w:t>
      </w:r>
    </w:p>
    <w:p w:rsidR="007E6AED" w:rsidRPr="00820D78" w:rsidRDefault="00820D78" w:rsidP="007E6AED">
      <w:pPr>
        <w:pStyle w:val="ListParagraph"/>
        <w:numPr>
          <w:ilvl w:val="0"/>
          <w:numId w:val="1"/>
        </w:numPr>
        <w:rPr>
          <w:rFonts w:ascii="Verdana" w:hAnsi="Verdana"/>
          <w:lang w:val="sr-Latn-CS"/>
        </w:rPr>
      </w:pPr>
      <w:r>
        <w:rPr>
          <w:rFonts w:ascii="Verdana" w:hAnsi="Verdana"/>
          <w:b/>
          <w:lang w:val="sr-Latn-CS"/>
        </w:rPr>
        <w:t xml:space="preserve"> Poslovni leveridž</w:t>
      </w:r>
    </w:p>
    <w:p w:rsidR="00820D78" w:rsidRDefault="00820D78" w:rsidP="00820D78">
      <w:pPr>
        <w:pStyle w:val="ListParagraph"/>
        <w:ind w:left="5040"/>
        <w:rPr>
          <w:rFonts w:ascii="Verdana" w:hAnsi="Verdana"/>
          <w:lang w:val="sr-Latn-CS"/>
        </w:rPr>
      </w:pPr>
    </w:p>
    <w:p w:rsidR="00820D78" w:rsidRDefault="00820D78" w:rsidP="00820D78">
      <w:pPr>
        <w:pStyle w:val="ListParagraph"/>
        <w:rPr>
          <w:rFonts w:ascii="Verdana" w:eastAsiaTheme="minorEastAsia" w:hAnsi="Verdana"/>
          <w:b/>
          <w:lang w:val="sr-Latn-CS"/>
        </w:rPr>
      </w:pPr>
      <m:oMathPara>
        <m:oMath>
          <m:r>
            <m:rPr>
              <m:sty m:val="bi"/>
            </m:rPr>
            <w:rPr>
              <w:rFonts w:ascii="Cambria Math" w:hAnsi="Cambria Math"/>
              <w:lang w:val="sr-Latn-CS"/>
            </w:rPr>
            <m:t>PL=</m:t>
          </m:r>
          <m:f>
            <m:fPr>
              <m:ctrlPr>
                <w:rPr>
                  <w:rFonts w:ascii="Cambria Math" w:hAnsi="Cambria Math"/>
                  <w:b/>
                  <w:i/>
                  <w:lang w:val="sr-Latn-CS"/>
                </w:rPr>
              </m:ctrlPr>
            </m:fPr>
            <m:num>
              <m:r>
                <m:rPr>
                  <m:sty m:val="bi"/>
                </m:rPr>
                <w:rPr>
                  <w:rFonts w:ascii="Cambria Math" w:hAnsi="Cambria Math"/>
                  <w:lang w:val="sr-Latn-CS"/>
                </w:rPr>
                <m:t>MD</m:t>
              </m:r>
            </m:num>
            <m:den>
              <m:r>
                <m:rPr>
                  <m:sty m:val="bi"/>
                </m:rPr>
                <w:rPr>
                  <w:rFonts w:ascii="Cambria Math" w:hAnsi="Cambria Math"/>
                  <w:lang w:val="sr-Latn-CS"/>
                </w:rPr>
                <m:t>PD</m:t>
              </m:r>
            </m:den>
          </m:f>
        </m:oMath>
      </m:oMathPara>
    </w:p>
    <w:p w:rsidR="00820D78" w:rsidRDefault="00820D78" w:rsidP="00820D78">
      <w:pPr>
        <w:pStyle w:val="ListParagraph"/>
        <w:rPr>
          <w:rFonts w:ascii="Verdana" w:eastAsiaTheme="minorEastAsia" w:hAnsi="Verdana"/>
          <w:lang w:val="sr-Latn-CS"/>
        </w:rPr>
      </w:pPr>
      <w:r>
        <w:rPr>
          <w:rFonts w:ascii="Verdana" w:eastAsiaTheme="minorEastAsia" w:hAnsi="Verdana"/>
          <w:lang w:val="sr-Latn-CS"/>
        </w:rPr>
        <w:t>MD – marginalni dobitak</w:t>
      </w:r>
    </w:p>
    <w:p w:rsidR="00820D78" w:rsidRDefault="00820D78" w:rsidP="00820D78">
      <w:pPr>
        <w:pStyle w:val="ListParagraph"/>
        <w:rPr>
          <w:rFonts w:ascii="Verdana" w:eastAsiaTheme="minorEastAsia" w:hAnsi="Verdana"/>
          <w:lang w:val="sr-Latn-CS"/>
        </w:rPr>
      </w:pPr>
      <w:r>
        <w:rPr>
          <w:rFonts w:ascii="Verdana" w:eastAsiaTheme="minorEastAsia" w:hAnsi="Verdana"/>
          <w:lang w:val="sr-Latn-CS"/>
        </w:rPr>
        <w:t>PD – Poslovni dobitak</w:t>
      </w:r>
    </w:p>
    <w:p w:rsidR="00820D78" w:rsidRPr="00820D78" w:rsidRDefault="00820D78" w:rsidP="00820D78">
      <w:pPr>
        <w:pStyle w:val="ListParagraph"/>
        <w:numPr>
          <w:ilvl w:val="0"/>
          <w:numId w:val="1"/>
        </w:numPr>
        <w:rPr>
          <w:rFonts w:ascii="Verdana" w:hAnsi="Verdana"/>
          <w:lang w:val="sr-Latn-CS"/>
        </w:rPr>
      </w:pPr>
      <w:r>
        <w:rPr>
          <w:rFonts w:ascii="Verdana" w:eastAsiaTheme="minorEastAsia" w:hAnsi="Verdana"/>
          <w:lang w:val="sr-Latn-CS"/>
        </w:rPr>
        <w:t xml:space="preserve"> </w:t>
      </w:r>
      <w:r>
        <w:rPr>
          <w:rFonts w:ascii="Verdana" w:eastAsiaTheme="minorEastAsia" w:hAnsi="Verdana"/>
          <w:b/>
          <w:lang w:val="sr-Latn-CS"/>
        </w:rPr>
        <w:t xml:space="preserve">Vrste dividendi. </w:t>
      </w:r>
      <w:r>
        <w:rPr>
          <w:rFonts w:ascii="Verdana" w:eastAsiaTheme="minorEastAsia" w:hAnsi="Verdana"/>
          <w:lang w:val="sr-Latn-CS"/>
        </w:rPr>
        <w:t>Pravi se razlika izmeđi:</w:t>
      </w:r>
    </w:p>
    <w:p w:rsidR="00820D78" w:rsidRDefault="00820D78" w:rsidP="00820D78">
      <w:pPr>
        <w:pStyle w:val="ListParagraph"/>
        <w:numPr>
          <w:ilvl w:val="0"/>
          <w:numId w:val="35"/>
        </w:numPr>
        <w:rPr>
          <w:rFonts w:ascii="Verdana" w:hAnsi="Verdana"/>
          <w:lang w:val="sr-Latn-CS"/>
        </w:rPr>
      </w:pPr>
      <w:r>
        <w:rPr>
          <w:rFonts w:ascii="Verdana" w:hAnsi="Verdana"/>
          <w:lang w:val="sr-Latn-CS"/>
        </w:rPr>
        <w:t>dividendi koje su stalne tj. regularne i dividendi koje su ekstraordinarne tj. posebne</w:t>
      </w:r>
    </w:p>
    <w:p w:rsidR="00820D78" w:rsidRDefault="00820D78" w:rsidP="00820D78">
      <w:pPr>
        <w:pStyle w:val="ListParagraph"/>
        <w:numPr>
          <w:ilvl w:val="0"/>
          <w:numId w:val="35"/>
        </w:numPr>
        <w:rPr>
          <w:rFonts w:ascii="Verdana" w:hAnsi="Verdana"/>
          <w:lang w:val="sr-Latn-CS"/>
        </w:rPr>
      </w:pPr>
      <w:r>
        <w:rPr>
          <w:rFonts w:ascii="Verdana" w:hAnsi="Verdana"/>
          <w:lang w:val="sr-Latn-CS"/>
        </w:rPr>
        <w:t>dividendi koje se isplaćuju iz dobiti i dividendi koje se isplaćuju iz osnovne glavnice</w:t>
      </w:r>
    </w:p>
    <w:p w:rsidR="00820D78" w:rsidRDefault="00820D78" w:rsidP="00820D78">
      <w:pPr>
        <w:pStyle w:val="ListParagraph"/>
        <w:numPr>
          <w:ilvl w:val="0"/>
          <w:numId w:val="35"/>
        </w:numPr>
        <w:rPr>
          <w:rFonts w:ascii="Verdana" w:hAnsi="Verdana"/>
          <w:lang w:val="sr-Latn-CS"/>
        </w:rPr>
      </w:pPr>
      <w:r>
        <w:rPr>
          <w:rFonts w:ascii="Verdana" w:hAnsi="Verdana"/>
          <w:lang w:val="sr-Latn-CS"/>
        </w:rPr>
        <w:t xml:space="preserve">dividendi koje se isplaćuju u gotovom novcu tj. u novčanim sredstvima, dividendi koje se isplaćuju u akcijama, dividendi koje se isplaćuju u obveznizacam, dividendi koje se isplaćuju u dobrima, dividendi koje </w:t>
      </w:r>
      <w:r w:rsidR="00720B32">
        <w:rPr>
          <w:rFonts w:ascii="Verdana" w:hAnsi="Verdana"/>
          <w:lang w:val="sr-Latn-CS"/>
        </w:rPr>
        <w:t>se javljaju u vidu obećanja da će isplata biti izvršena u budućnosti, što često ima formu solo menica preduzeća</w:t>
      </w:r>
    </w:p>
    <w:p w:rsidR="00720B32" w:rsidRPr="00720B32" w:rsidRDefault="00720B32" w:rsidP="00720B32">
      <w:pPr>
        <w:pStyle w:val="ListParagraph"/>
        <w:numPr>
          <w:ilvl w:val="0"/>
          <w:numId w:val="1"/>
        </w:numPr>
        <w:rPr>
          <w:rFonts w:ascii="Verdana" w:hAnsi="Verdana"/>
          <w:lang w:val="sr-Latn-CS"/>
        </w:rPr>
      </w:pPr>
      <w:r w:rsidRPr="00720B32">
        <w:rPr>
          <w:rFonts w:ascii="Verdana" w:hAnsi="Verdana"/>
          <w:lang w:val="sr-Latn-CS"/>
        </w:rPr>
        <w:t xml:space="preserve"> </w:t>
      </w:r>
      <w:r w:rsidRPr="00720B32">
        <w:rPr>
          <w:rFonts w:ascii="Verdana" w:hAnsi="Verdana"/>
          <w:b/>
          <w:lang w:val="sr-Latn-CS"/>
        </w:rPr>
        <w:t>Stalne i posebne dividend</w:t>
      </w:r>
      <w:r>
        <w:rPr>
          <w:rFonts w:ascii="Verdana" w:hAnsi="Verdana"/>
          <w:b/>
          <w:lang w:val="sr-Latn-CS"/>
        </w:rPr>
        <w:t>e</w:t>
      </w:r>
    </w:p>
    <w:p w:rsidR="00720B32" w:rsidRDefault="00720B32" w:rsidP="00720B32">
      <w:pPr>
        <w:pStyle w:val="ListParagraph"/>
        <w:numPr>
          <w:ilvl w:val="0"/>
          <w:numId w:val="38"/>
        </w:numPr>
        <w:rPr>
          <w:rFonts w:ascii="Verdana" w:hAnsi="Verdana"/>
          <w:lang w:val="sr-Latn-CS"/>
        </w:rPr>
      </w:pPr>
      <w:r>
        <w:rPr>
          <w:rFonts w:ascii="Verdana" w:hAnsi="Verdana"/>
          <w:lang w:val="sr-Latn-CS"/>
        </w:rPr>
        <w:t>stalne ili regularne dividende se siplaćuju po nepromenjenoj stipi u rokovima unapred poznatim i utvrđenim u statutu ili u odluci skupštine akcionara. One su posledica normalnih poslovnih aktivnosti preduzeća i u njihovoj osnovi je dugoročna finansijska i poslovna politika koju sprovodi uprava društva. Stalne dividende opravdavaju poverenje akcionara u preduzeću i čine akcije privlačnim, pošto obezbeđuju sigurnost plasmana i stabilnost prihoda koga on donosi.</w:t>
      </w:r>
    </w:p>
    <w:p w:rsidR="00720B32" w:rsidRDefault="00720B32" w:rsidP="00720B32">
      <w:pPr>
        <w:pStyle w:val="ListParagraph"/>
        <w:numPr>
          <w:ilvl w:val="0"/>
          <w:numId w:val="38"/>
        </w:numPr>
        <w:rPr>
          <w:rFonts w:ascii="Verdana" w:hAnsi="Verdana"/>
          <w:lang w:val="sr-Latn-CS"/>
        </w:rPr>
      </w:pPr>
      <w:r>
        <w:rPr>
          <w:rFonts w:ascii="Verdana" w:hAnsi="Verdana"/>
          <w:lang w:val="sr-Latn-CS"/>
        </w:rPr>
        <w:t>posebne (ekstra, ekstraordinarne, neregularne specijalne dividende rezultat su posebnih okolnosti. One se isplaćuju izuzetno i to zavljujući nastajanju i delovanju posebnih okolnosti. Akcionari koji su obavešteni da će im biti isplaćene i posebne dividende znaju da su one izuzetne i da se neće ponavljati na regularan način.</w:t>
      </w:r>
    </w:p>
    <w:p w:rsidR="00720B32" w:rsidRDefault="00720B32" w:rsidP="00720B32">
      <w:pPr>
        <w:pStyle w:val="ListParagraph"/>
        <w:numPr>
          <w:ilvl w:val="0"/>
          <w:numId w:val="1"/>
        </w:numPr>
        <w:rPr>
          <w:rFonts w:ascii="Verdana" w:hAnsi="Verdana"/>
          <w:lang w:val="sr-Latn-CS"/>
        </w:rPr>
      </w:pPr>
      <w:r>
        <w:rPr>
          <w:rFonts w:ascii="Verdana" w:hAnsi="Verdana"/>
          <w:b/>
          <w:lang w:val="sr-Latn-CS"/>
        </w:rPr>
        <w:t xml:space="preserve"> Prelazne i konačne dividende. </w:t>
      </w:r>
      <w:r>
        <w:rPr>
          <w:rFonts w:ascii="Verdana" w:hAnsi="Verdana"/>
          <w:lang w:val="sr-Latn-CS"/>
        </w:rPr>
        <w:t>U toku godine, a u zavisnosti od poslovnih rezultata i stanja likvidnosti, preduzeća dele jednu ili više prelaznih tj. intermedijarnih dividendi po stopama koje mogu da budu različite i zatim po okončanju poslovne godine, dele akcionarima končnu tj. finalnu dividendu. U odnosu na prelazne dividende konačne dividende su prelazne.</w:t>
      </w:r>
    </w:p>
    <w:p w:rsidR="00720B32" w:rsidRDefault="00EE3784" w:rsidP="00720B32">
      <w:pPr>
        <w:pStyle w:val="ListParagraph"/>
        <w:numPr>
          <w:ilvl w:val="0"/>
          <w:numId w:val="1"/>
        </w:numPr>
        <w:rPr>
          <w:rFonts w:ascii="Verdana" w:hAnsi="Verdana"/>
          <w:lang w:val="sr-Latn-CS"/>
        </w:rPr>
      </w:pPr>
      <w:r>
        <w:rPr>
          <w:rFonts w:ascii="Verdana" w:hAnsi="Verdana"/>
          <w:b/>
          <w:lang w:val="sr-Latn-CS"/>
        </w:rPr>
        <w:t xml:space="preserve"> Dividende koje se ispaćuju u novčanim sredstvima. </w:t>
      </w:r>
      <w:r>
        <w:rPr>
          <w:rFonts w:ascii="Verdana" w:hAnsi="Verdana"/>
          <w:lang w:val="sr-Latn-CS"/>
        </w:rPr>
        <w:t xml:space="preserve">Isplata dividendi u novčanim sredstvima je najčešće povezana sa poslovnim rezultatima društva i </w:t>
      </w:r>
      <w:r>
        <w:rPr>
          <w:rFonts w:ascii="Verdana" w:hAnsi="Verdana"/>
          <w:lang w:val="sr-Latn-CS"/>
        </w:rPr>
        <w:lastRenderedPageBreak/>
        <w:t>njegovom likvidnošći. Normalno je da akcionarsko društvo koje posluje sa uspehom ima zadovoljavajući stepen likvidnosti, te zato ne bi trebalo da bude suočeno sa potrebom da pozajmljuje sredstva za isplatu dividendi. Zbog toga se korišćenje kredita za isplate dividendi, suled privremene nelikvidnosti s</w:t>
      </w:r>
      <w:r w:rsidR="00F6225E">
        <w:rPr>
          <w:rFonts w:ascii="Verdana" w:hAnsi="Verdana"/>
          <w:lang w:val="sr-Latn-CS"/>
        </w:rPr>
        <w:t>matra neracionalnom finansijskom i poslovnom politikom.</w:t>
      </w:r>
    </w:p>
    <w:p w:rsidR="00F6225E" w:rsidRDefault="00F6225E" w:rsidP="00720B32">
      <w:pPr>
        <w:pStyle w:val="ListParagraph"/>
        <w:numPr>
          <w:ilvl w:val="0"/>
          <w:numId w:val="1"/>
        </w:numPr>
        <w:rPr>
          <w:rFonts w:ascii="Verdana" w:hAnsi="Verdana"/>
          <w:lang w:val="sr-Latn-CS"/>
        </w:rPr>
      </w:pPr>
      <w:r>
        <w:rPr>
          <w:rFonts w:ascii="Verdana" w:hAnsi="Verdana"/>
          <w:b/>
          <w:lang w:val="sr-Latn-CS"/>
        </w:rPr>
        <w:t xml:space="preserve"> Dividende koje se isplaćuju akcijama akcionarskog društva.</w:t>
      </w:r>
      <w:r>
        <w:rPr>
          <w:rFonts w:ascii="Verdana" w:hAnsi="Verdana"/>
          <w:lang w:val="sr-Latn-CS"/>
        </w:rPr>
        <w:t xml:space="preserve"> Akcije kojima se isplaćuju dividende mogu da budu obične ili prioritetne, ali kada A.D. isplaćuje dividende akcijama koje je izdalo neko drugo akcionarsko društvo, onda se radi o isplati divdendi pokretnim dobrima, a ne o isplati</w:t>
      </w:r>
      <w:r w:rsidR="00980401">
        <w:rPr>
          <w:rFonts w:ascii="Verdana" w:hAnsi="Verdana"/>
          <w:lang w:val="sr-Latn-CS"/>
        </w:rPr>
        <w:t xml:space="preserve"> dividendi akcijama. Isplata dividendi od akcionarskog društva sopstvenim akcijama ima za posledicu povećanje osnovne glavnice tj. akcionarskog kapitala korišćenjem dela rezervi, tako da društvo koje ima nameru da isolati dividende sopstvenim akcijama može da koristi 2 rešenja: da izda nove akcije i da ih podeli akcionarima ili da ne izdaje nove akcije nego da poveća nominalnu vrednost postojećih akcija.</w:t>
      </w:r>
    </w:p>
    <w:p w:rsidR="00980401" w:rsidRDefault="00980401" w:rsidP="00720B32">
      <w:pPr>
        <w:pStyle w:val="ListParagraph"/>
        <w:numPr>
          <w:ilvl w:val="0"/>
          <w:numId w:val="1"/>
        </w:numPr>
        <w:rPr>
          <w:rFonts w:ascii="Verdana" w:hAnsi="Verdana"/>
          <w:lang w:val="sr-Latn-CS"/>
        </w:rPr>
      </w:pPr>
      <w:r>
        <w:rPr>
          <w:rFonts w:ascii="Verdana" w:hAnsi="Verdana"/>
          <w:b/>
          <w:lang w:val="sr-Latn-CS"/>
        </w:rPr>
        <w:t xml:space="preserve"> Dividende koje se alternativno isplaćuju akcijama akcionarskih društava ili u novcu.</w:t>
      </w:r>
      <w:r>
        <w:rPr>
          <w:rFonts w:ascii="Verdana" w:hAnsi="Verdana"/>
          <w:lang w:val="sr-Latn-CS"/>
        </w:rPr>
        <w:t xml:space="preserve"> To su akcionarska društva u punoj ekspanziji, koji odgovara da finansiraju inveticije iz dobiti, ali istovremeno ne žele da budu izložena kritikama akcionara zbog isplate dividende isključivo u akcijama, ili jednostavno  nastoje da zahvaljujući opciji u pogledu načina isplate dividendi koje nude akcionarima učine akcije privlačnijim i povećaju njihovu vrednost. Nekada A.D. daju pravo opcije samo vlasnicima prioritetnih akcija.</w:t>
      </w:r>
    </w:p>
    <w:p w:rsidR="00720B32" w:rsidRDefault="00980401" w:rsidP="00980401">
      <w:pPr>
        <w:pStyle w:val="ListParagraph"/>
        <w:numPr>
          <w:ilvl w:val="0"/>
          <w:numId w:val="1"/>
        </w:numPr>
        <w:ind w:left="709"/>
        <w:rPr>
          <w:rFonts w:ascii="Verdana" w:hAnsi="Verdana"/>
          <w:lang w:val="sr-Latn-CS"/>
        </w:rPr>
      </w:pPr>
      <w:r w:rsidRPr="00980401">
        <w:rPr>
          <w:rFonts w:ascii="Verdana" w:hAnsi="Verdana"/>
          <w:lang w:val="sr-Latn-CS"/>
        </w:rPr>
        <w:t xml:space="preserve"> </w:t>
      </w:r>
      <w:r>
        <w:rPr>
          <w:rFonts w:ascii="Verdana" w:hAnsi="Verdana"/>
          <w:b/>
          <w:lang w:val="sr-Latn-CS"/>
        </w:rPr>
        <w:t xml:space="preserve">Dividende koje isplaćuju obveznicama koje je akcionarsko društvo izdalo. </w:t>
      </w:r>
      <w:r>
        <w:rPr>
          <w:rFonts w:ascii="Verdana" w:hAnsi="Verdana"/>
          <w:lang w:val="sr-Latn-CS"/>
        </w:rPr>
        <w:t>Razlog za ovakvu isplatu dividendi leži u činjenici da je za njih pogodnije da finansiraju investicije iz dobiti i da radi toga daju obveznice akcionarima na ime dividendi, nego da dele dividende u novuc i zatim prikupljaju na tržištu potrebna sredstva emitovanjem obveznica. Isplata dividendi obveznicama koje je A.D. izdalo ne predstavlja racionalnu finansijsku poltiku, jer se smatra da pri isplati dividendi akcionarima ne postoji veza između zajma koga društvo emituje i stvarnih potreba za sredstvima.</w:t>
      </w:r>
    </w:p>
    <w:p w:rsidR="00980401" w:rsidRDefault="00980401" w:rsidP="00980401">
      <w:pPr>
        <w:pStyle w:val="ListParagraph"/>
        <w:numPr>
          <w:ilvl w:val="0"/>
          <w:numId w:val="1"/>
        </w:numPr>
        <w:ind w:left="709"/>
        <w:rPr>
          <w:rFonts w:ascii="Verdana" w:hAnsi="Verdana"/>
          <w:lang w:val="sr-Latn-CS"/>
        </w:rPr>
      </w:pPr>
      <w:r>
        <w:rPr>
          <w:rFonts w:ascii="Verdana" w:hAnsi="Verdana"/>
          <w:lang w:val="sr-Latn-CS"/>
        </w:rPr>
        <w:t xml:space="preserve"> </w:t>
      </w:r>
      <w:r>
        <w:rPr>
          <w:rFonts w:ascii="Verdana" w:hAnsi="Verdana"/>
          <w:b/>
          <w:lang w:val="sr-Latn-CS"/>
        </w:rPr>
        <w:t>Dividende koje se javljaju</w:t>
      </w:r>
      <w:r w:rsidR="0072315A">
        <w:rPr>
          <w:rFonts w:ascii="Verdana" w:hAnsi="Verdana"/>
          <w:b/>
          <w:lang w:val="sr-Latn-CS"/>
        </w:rPr>
        <w:t xml:space="preserve"> u vidu obećanja tj. potvrde da će isplata u novčanim sredstvima biti izvršena. </w:t>
      </w:r>
      <w:r w:rsidR="0072315A">
        <w:rPr>
          <w:rFonts w:ascii="Verdana" w:hAnsi="Verdana"/>
          <w:lang w:val="sr-Latn-CS"/>
        </w:rPr>
        <w:t>Ovakav način podele dividendi korišćen je da bi se izbeglo plaćanje poreskih dažbina, koje u velikoj meri opterećuju neraspoređenu dobit, a u okolnostima kada A.D. ostvaruju značajnu dobit i istovremeno imaju momentalne i kratkotrajne teškoće sa likvidnošću. Ova obećanja po pravilu imaju formusolo menica izdatih od društva.</w:t>
      </w:r>
    </w:p>
    <w:p w:rsidR="0072315A" w:rsidRPr="00980401" w:rsidRDefault="0072315A" w:rsidP="00980401">
      <w:pPr>
        <w:pStyle w:val="ListParagraph"/>
        <w:numPr>
          <w:ilvl w:val="0"/>
          <w:numId w:val="1"/>
        </w:numPr>
        <w:ind w:left="709"/>
        <w:rPr>
          <w:rFonts w:ascii="Verdana" w:hAnsi="Verdana"/>
          <w:lang w:val="sr-Latn-CS"/>
        </w:rPr>
      </w:pPr>
      <w:r>
        <w:rPr>
          <w:rFonts w:ascii="Verdana" w:hAnsi="Verdana"/>
          <w:lang w:val="sr-Latn-CS"/>
        </w:rPr>
        <w:t xml:space="preserve"> </w:t>
      </w:r>
      <w:r>
        <w:rPr>
          <w:rFonts w:ascii="Verdana" w:hAnsi="Verdana"/>
          <w:b/>
          <w:lang w:val="sr-Latn-CS"/>
        </w:rPr>
        <w:t xml:space="preserve">Dividende koje se isplaćuju u imovina koja pripada akcionarski društvima i koje se ne sastoji od novčanih sredstava. </w:t>
      </w:r>
      <w:r w:rsidRPr="0072315A">
        <w:rPr>
          <w:rFonts w:ascii="Verdana" w:hAnsi="Verdana"/>
          <w:lang w:val="sr-Latn-CS"/>
        </w:rPr>
        <w:t>Retki su primeri isplata</w:t>
      </w:r>
      <w:r>
        <w:rPr>
          <w:rFonts w:ascii="Verdana" w:hAnsi="Verdana"/>
          <w:lang w:val="sr-Latn-CS"/>
        </w:rPr>
        <w:t xml:space="preserve"> dividendi imovinom koja pripada A.D. i koja se ne sastoji od novčanih sredstava. Ovaj vid isplate dividendi društva su koristila samo u izuzetnim okolnostima.</w:t>
      </w:r>
    </w:p>
    <w:p w:rsidR="00820D78" w:rsidRPr="00820D78" w:rsidRDefault="00820D78" w:rsidP="00820D78">
      <w:pPr>
        <w:pStyle w:val="ListParagraph"/>
        <w:ind w:left="5040"/>
        <w:rPr>
          <w:rFonts w:ascii="Verdana" w:hAnsi="Verdana"/>
          <w:lang w:val="sr-Latn-CS"/>
        </w:rPr>
      </w:pPr>
    </w:p>
    <w:p w:rsidR="004E09E4" w:rsidRPr="00317F1B" w:rsidRDefault="004E09E4" w:rsidP="004E09E4">
      <w:pPr>
        <w:pStyle w:val="ListParagraph"/>
        <w:ind w:left="1440"/>
        <w:rPr>
          <w:rFonts w:ascii="Verdana" w:hAnsi="Verdana"/>
          <w:lang w:val="sr-Latn-CS"/>
        </w:rPr>
      </w:pPr>
    </w:p>
    <w:sectPr w:rsidR="004E09E4" w:rsidRPr="00317F1B" w:rsidSect="004426D3">
      <w:pgSz w:w="12240" w:h="15840"/>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3371C"/>
    <w:multiLevelType w:val="hybridMultilevel"/>
    <w:tmpl w:val="BEB0F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111F1C"/>
    <w:multiLevelType w:val="hybridMultilevel"/>
    <w:tmpl w:val="5CBC2A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3632698"/>
    <w:multiLevelType w:val="hybridMultilevel"/>
    <w:tmpl w:val="A66CF294"/>
    <w:lvl w:ilvl="0" w:tplc="04090001">
      <w:start w:val="1"/>
      <w:numFmt w:val="bullet"/>
      <w:lvlText w:val=""/>
      <w:lvlJc w:val="left"/>
      <w:pPr>
        <w:ind w:left="2225" w:hanging="360"/>
      </w:pPr>
      <w:rPr>
        <w:rFonts w:ascii="Symbol" w:hAnsi="Symbol" w:hint="default"/>
      </w:rPr>
    </w:lvl>
    <w:lvl w:ilvl="1" w:tplc="04090003" w:tentative="1">
      <w:start w:val="1"/>
      <w:numFmt w:val="bullet"/>
      <w:lvlText w:val="o"/>
      <w:lvlJc w:val="left"/>
      <w:pPr>
        <w:ind w:left="2945" w:hanging="360"/>
      </w:pPr>
      <w:rPr>
        <w:rFonts w:ascii="Courier New" w:hAnsi="Courier New" w:cs="Courier New" w:hint="default"/>
      </w:rPr>
    </w:lvl>
    <w:lvl w:ilvl="2" w:tplc="04090005" w:tentative="1">
      <w:start w:val="1"/>
      <w:numFmt w:val="bullet"/>
      <w:lvlText w:val=""/>
      <w:lvlJc w:val="left"/>
      <w:pPr>
        <w:ind w:left="3665" w:hanging="360"/>
      </w:pPr>
      <w:rPr>
        <w:rFonts w:ascii="Wingdings" w:hAnsi="Wingdings" w:hint="default"/>
      </w:rPr>
    </w:lvl>
    <w:lvl w:ilvl="3" w:tplc="04090001" w:tentative="1">
      <w:start w:val="1"/>
      <w:numFmt w:val="bullet"/>
      <w:lvlText w:val=""/>
      <w:lvlJc w:val="left"/>
      <w:pPr>
        <w:ind w:left="4385" w:hanging="360"/>
      </w:pPr>
      <w:rPr>
        <w:rFonts w:ascii="Symbol" w:hAnsi="Symbol" w:hint="default"/>
      </w:rPr>
    </w:lvl>
    <w:lvl w:ilvl="4" w:tplc="04090003" w:tentative="1">
      <w:start w:val="1"/>
      <w:numFmt w:val="bullet"/>
      <w:lvlText w:val="o"/>
      <w:lvlJc w:val="left"/>
      <w:pPr>
        <w:ind w:left="5105" w:hanging="360"/>
      </w:pPr>
      <w:rPr>
        <w:rFonts w:ascii="Courier New" w:hAnsi="Courier New" w:cs="Courier New" w:hint="default"/>
      </w:rPr>
    </w:lvl>
    <w:lvl w:ilvl="5" w:tplc="04090005" w:tentative="1">
      <w:start w:val="1"/>
      <w:numFmt w:val="bullet"/>
      <w:lvlText w:val=""/>
      <w:lvlJc w:val="left"/>
      <w:pPr>
        <w:ind w:left="5825" w:hanging="360"/>
      </w:pPr>
      <w:rPr>
        <w:rFonts w:ascii="Wingdings" w:hAnsi="Wingdings" w:hint="default"/>
      </w:rPr>
    </w:lvl>
    <w:lvl w:ilvl="6" w:tplc="04090001" w:tentative="1">
      <w:start w:val="1"/>
      <w:numFmt w:val="bullet"/>
      <w:lvlText w:val=""/>
      <w:lvlJc w:val="left"/>
      <w:pPr>
        <w:ind w:left="6545" w:hanging="360"/>
      </w:pPr>
      <w:rPr>
        <w:rFonts w:ascii="Symbol" w:hAnsi="Symbol" w:hint="default"/>
      </w:rPr>
    </w:lvl>
    <w:lvl w:ilvl="7" w:tplc="04090003" w:tentative="1">
      <w:start w:val="1"/>
      <w:numFmt w:val="bullet"/>
      <w:lvlText w:val="o"/>
      <w:lvlJc w:val="left"/>
      <w:pPr>
        <w:ind w:left="7265" w:hanging="360"/>
      </w:pPr>
      <w:rPr>
        <w:rFonts w:ascii="Courier New" w:hAnsi="Courier New" w:cs="Courier New" w:hint="default"/>
      </w:rPr>
    </w:lvl>
    <w:lvl w:ilvl="8" w:tplc="04090005" w:tentative="1">
      <w:start w:val="1"/>
      <w:numFmt w:val="bullet"/>
      <w:lvlText w:val=""/>
      <w:lvlJc w:val="left"/>
      <w:pPr>
        <w:ind w:left="7985" w:hanging="360"/>
      </w:pPr>
      <w:rPr>
        <w:rFonts w:ascii="Wingdings" w:hAnsi="Wingdings" w:hint="default"/>
      </w:rPr>
    </w:lvl>
  </w:abstractNum>
  <w:abstractNum w:abstractNumId="3">
    <w:nsid w:val="04C4015A"/>
    <w:multiLevelType w:val="hybridMultilevel"/>
    <w:tmpl w:val="3648C42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nsid w:val="04E74601"/>
    <w:multiLevelType w:val="hybridMultilevel"/>
    <w:tmpl w:val="BA6C4F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63B436C"/>
    <w:multiLevelType w:val="hybridMultilevel"/>
    <w:tmpl w:val="2CC030C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08350D76"/>
    <w:multiLevelType w:val="hybridMultilevel"/>
    <w:tmpl w:val="42A876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A0A57C3"/>
    <w:multiLevelType w:val="hybridMultilevel"/>
    <w:tmpl w:val="3744A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D082FCB"/>
    <w:multiLevelType w:val="hybridMultilevel"/>
    <w:tmpl w:val="5372B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A8675E"/>
    <w:multiLevelType w:val="hybridMultilevel"/>
    <w:tmpl w:val="9356B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AC7BA1"/>
    <w:multiLevelType w:val="hybridMultilevel"/>
    <w:tmpl w:val="51EC20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1BAF2D42"/>
    <w:multiLevelType w:val="hybridMultilevel"/>
    <w:tmpl w:val="E6B2EE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0B61852"/>
    <w:multiLevelType w:val="hybridMultilevel"/>
    <w:tmpl w:val="AAF0237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18D57D4"/>
    <w:multiLevelType w:val="hybridMultilevel"/>
    <w:tmpl w:val="370647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221248E1"/>
    <w:multiLevelType w:val="hybridMultilevel"/>
    <w:tmpl w:val="364EBC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22AD7857"/>
    <w:multiLevelType w:val="hybridMultilevel"/>
    <w:tmpl w:val="01764842"/>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nsid w:val="23605052"/>
    <w:multiLevelType w:val="hybridMultilevel"/>
    <w:tmpl w:val="332456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7A76363"/>
    <w:multiLevelType w:val="hybridMultilevel"/>
    <w:tmpl w:val="175EE5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B9F3A19"/>
    <w:multiLevelType w:val="hybridMultilevel"/>
    <w:tmpl w:val="06564E7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B7A7BA5"/>
    <w:multiLevelType w:val="hybridMultilevel"/>
    <w:tmpl w:val="702A769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C067830"/>
    <w:multiLevelType w:val="hybridMultilevel"/>
    <w:tmpl w:val="4850B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DE747C"/>
    <w:multiLevelType w:val="hybridMultilevel"/>
    <w:tmpl w:val="0F58EA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52C6BFE"/>
    <w:multiLevelType w:val="hybridMultilevel"/>
    <w:tmpl w:val="7B4443B4"/>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nsid w:val="46933D8C"/>
    <w:multiLevelType w:val="hybridMultilevel"/>
    <w:tmpl w:val="03E6D8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00C2D05"/>
    <w:multiLevelType w:val="hybridMultilevel"/>
    <w:tmpl w:val="25A6B790"/>
    <w:lvl w:ilvl="0" w:tplc="04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8148CB"/>
    <w:multiLevelType w:val="hybridMultilevel"/>
    <w:tmpl w:val="D19E1EA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59748A9"/>
    <w:multiLevelType w:val="hybridMultilevel"/>
    <w:tmpl w:val="860AC262"/>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nsid w:val="5B2D0A9C"/>
    <w:multiLevelType w:val="hybridMultilevel"/>
    <w:tmpl w:val="6B8417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EE66FFF"/>
    <w:multiLevelType w:val="hybridMultilevel"/>
    <w:tmpl w:val="CA38722E"/>
    <w:lvl w:ilvl="0" w:tplc="E96C88F6">
      <w:start w:val="37"/>
      <w:numFmt w:val="bullet"/>
      <w:lvlText w:val="-"/>
      <w:lvlJc w:val="left"/>
      <w:pPr>
        <w:ind w:left="1800" w:hanging="360"/>
      </w:pPr>
      <w:rPr>
        <w:rFonts w:ascii="Verdana" w:eastAsiaTheme="minorHAnsi" w:hAnsi="Verdana" w:cstheme="minorBidi"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F1E54DE"/>
    <w:multiLevelType w:val="hybridMultilevel"/>
    <w:tmpl w:val="44F82A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3B677DB"/>
    <w:multiLevelType w:val="hybridMultilevel"/>
    <w:tmpl w:val="51D6D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AF56B3"/>
    <w:multiLevelType w:val="hybridMultilevel"/>
    <w:tmpl w:val="5830B6B4"/>
    <w:lvl w:ilvl="0" w:tplc="1D6C0F18">
      <w:start w:val="37"/>
      <w:numFmt w:val="bullet"/>
      <w:lvlText w:val="-"/>
      <w:lvlJc w:val="left"/>
      <w:pPr>
        <w:ind w:left="1800" w:hanging="360"/>
      </w:pPr>
      <w:rPr>
        <w:rFonts w:ascii="Verdana" w:eastAsiaTheme="minorHAnsi" w:hAnsi="Verdana" w:cstheme="minorBidi"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C45630F"/>
    <w:multiLevelType w:val="hybridMultilevel"/>
    <w:tmpl w:val="04546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CE5848"/>
    <w:multiLevelType w:val="hybridMultilevel"/>
    <w:tmpl w:val="22FA5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5FC0EA5"/>
    <w:multiLevelType w:val="hybridMultilevel"/>
    <w:tmpl w:val="EEE6B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04758"/>
    <w:multiLevelType w:val="hybridMultilevel"/>
    <w:tmpl w:val="7E96BFD0"/>
    <w:lvl w:ilvl="0" w:tplc="3320A4D2">
      <w:start w:val="37"/>
      <w:numFmt w:val="bullet"/>
      <w:lvlText w:val="-"/>
      <w:lvlJc w:val="left"/>
      <w:pPr>
        <w:ind w:left="2160" w:hanging="360"/>
      </w:pPr>
      <w:rPr>
        <w:rFonts w:ascii="Verdana" w:eastAsiaTheme="minorHAnsi" w:hAnsi="Verdana" w:cstheme="minorBidi"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7D2B2E28"/>
    <w:multiLevelType w:val="hybridMultilevel"/>
    <w:tmpl w:val="000892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7D836734"/>
    <w:multiLevelType w:val="hybridMultilevel"/>
    <w:tmpl w:val="F21003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23"/>
  </w:num>
  <w:num w:numId="3">
    <w:abstractNumId w:val="26"/>
  </w:num>
  <w:num w:numId="4">
    <w:abstractNumId w:val="5"/>
  </w:num>
  <w:num w:numId="5">
    <w:abstractNumId w:val="22"/>
  </w:num>
  <w:num w:numId="6">
    <w:abstractNumId w:val="15"/>
  </w:num>
  <w:num w:numId="7">
    <w:abstractNumId w:val="8"/>
  </w:num>
  <w:num w:numId="8">
    <w:abstractNumId w:val="27"/>
  </w:num>
  <w:num w:numId="9">
    <w:abstractNumId w:val="34"/>
  </w:num>
  <w:num w:numId="10">
    <w:abstractNumId w:val="0"/>
  </w:num>
  <w:num w:numId="11">
    <w:abstractNumId w:val="4"/>
  </w:num>
  <w:num w:numId="12">
    <w:abstractNumId w:val="32"/>
  </w:num>
  <w:num w:numId="13">
    <w:abstractNumId w:val="33"/>
  </w:num>
  <w:num w:numId="14">
    <w:abstractNumId w:val="29"/>
  </w:num>
  <w:num w:numId="15">
    <w:abstractNumId w:val="18"/>
  </w:num>
  <w:num w:numId="16">
    <w:abstractNumId w:val="9"/>
  </w:num>
  <w:num w:numId="17">
    <w:abstractNumId w:val="3"/>
  </w:num>
  <w:num w:numId="18">
    <w:abstractNumId w:val="12"/>
  </w:num>
  <w:num w:numId="19">
    <w:abstractNumId w:val="20"/>
  </w:num>
  <w:num w:numId="20">
    <w:abstractNumId w:val="37"/>
  </w:num>
  <w:num w:numId="21">
    <w:abstractNumId w:val="16"/>
  </w:num>
  <w:num w:numId="22">
    <w:abstractNumId w:val="7"/>
  </w:num>
  <w:num w:numId="23">
    <w:abstractNumId w:val="19"/>
  </w:num>
  <w:num w:numId="24">
    <w:abstractNumId w:val="1"/>
  </w:num>
  <w:num w:numId="25">
    <w:abstractNumId w:val="11"/>
  </w:num>
  <w:num w:numId="26">
    <w:abstractNumId w:val="36"/>
  </w:num>
  <w:num w:numId="27">
    <w:abstractNumId w:val="13"/>
  </w:num>
  <w:num w:numId="28">
    <w:abstractNumId w:val="6"/>
  </w:num>
  <w:num w:numId="29">
    <w:abstractNumId w:val="21"/>
  </w:num>
  <w:num w:numId="30">
    <w:abstractNumId w:val="17"/>
  </w:num>
  <w:num w:numId="31">
    <w:abstractNumId w:val="14"/>
  </w:num>
  <w:num w:numId="32">
    <w:abstractNumId w:val="2"/>
  </w:num>
  <w:num w:numId="33">
    <w:abstractNumId w:val="25"/>
  </w:num>
  <w:num w:numId="34">
    <w:abstractNumId w:val="30"/>
  </w:num>
  <w:num w:numId="35">
    <w:abstractNumId w:val="10"/>
  </w:num>
  <w:num w:numId="36">
    <w:abstractNumId w:val="28"/>
  </w:num>
  <w:num w:numId="37">
    <w:abstractNumId w:val="35"/>
  </w:num>
  <w:num w:numId="3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compat/>
  <w:rsids>
    <w:rsidRoot w:val="00D95ABC"/>
    <w:rsid w:val="001629C6"/>
    <w:rsid w:val="001F47F0"/>
    <w:rsid w:val="00227191"/>
    <w:rsid w:val="002329CC"/>
    <w:rsid w:val="00314780"/>
    <w:rsid w:val="00317F1B"/>
    <w:rsid w:val="00381327"/>
    <w:rsid w:val="003B0201"/>
    <w:rsid w:val="004426D3"/>
    <w:rsid w:val="004D7181"/>
    <w:rsid w:val="004E09E4"/>
    <w:rsid w:val="00534500"/>
    <w:rsid w:val="00573779"/>
    <w:rsid w:val="005A7491"/>
    <w:rsid w:val="006E77CF"/>
    <w:rsid w:val="00720B32"/>
    <w:rsid w:val="0072315A"/>
    <w:rsid w:val="00780F47"/>
    <w:rsid w:val="007E6AED"/>
    <w:rsid w:val="00820D78"/>
    <w:rsid w:val="00980401"/>
    <w:rsid w:val="00B23ABF"/>
    <w:rsid w:val="00BD6E0A"/>
    <w:rsid w:val="00CC1E11"/>
    <w:rsid w:val="00CC451B"/>
    <w:rsid w:val="00D95ABC"/>
    <w:rsid w:val="00E92924"/>
    <w:rsid w:val="00EE3784"/>
    <w:rsid w:val="00F622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5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ABC"/>
    <w:pPr>
      <w:ind w:left="720"/>
      <w:contextualSpacing/>
    </w:pPr>
  </w:style>
  <w:style w:type="character" w:styleId="PlaceholderText">
    <w:name w:val="Placeholder Text"/>
    <w:basedOn w:val="DefaultParagraphFont"/>
    <w:uiPriority w:val="99"/>
    <w:semiHidden/>
    <w:rsid w:val="00573779"/>
    <w:rPr>
      <w:color w:val="808080"/>
    </w:rPr>
  </w:style>
  <w:style w:type="paragraph" w:styleId="BalloonText">
    <w:name w:val="Balloon Text"/>
    <w:basedOn w:val="Normal"/>
    <w:link w:val="BalloonTextChar"/>
    <w:uiPriority w:val="99"/>
    <w:semiHidden/>
    <w:unhideWhenUsed/>
    <w:rsid w:val="005737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7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A87985-4DCF-4B90-A5B8-EAE802705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7</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dc:creator>
  <cp:keywords/>
  <dc:description/>
  <cp:lastModifiedBy>Nikola</cp:lastModifiedBy>
  <cp:revision>14</cp:revision>
  <dcterms:created xsi:type="dcterms:W3CDTF">2012-05-24T20:25:00Z</dcterms:created>
  <dcterms:modified xsi:type="dcterms:W3CDTF">2012-05-28T01:03:00Z</dcterms:modified>
</cp:coreProperties>
</file>